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86" w:rsidRDefault="00D80C86" w:rsidP="00D80C86">
      <w:pPr>
        <w:pStyle w:val="Footer"/>
      </w:pPr>
    </w:p>
    <w:p w:rsidR="00D80C86" w:rsidRPr="00D80C86" w:rsidRDefault="00245193" w:rsidP="00D80C86">
      <w:pPr>
        <w:pStyle w:val="Footer"/>
        <w:jc w:val="center"/>
        <w:rPr>
          <w:rFonts w:ascii="Verdana" w:hAnsi="Verdana"/>
          <w:b/>
          <w:sz w:val="32"/>
          <w:szCs w:val="32"/>
        </w:rPr>
      </w:pPr>
      <w:r>
        <w:rPr>
          <w:rFonts w:ascii="Verdana" w:hAnsi="Verdana"/>
          <w:b/>
          <w:sz w:val="32"/>
          <w:szCs w:val="32"/>
        </w:rPr>
        <w:t xml:space="preserve">Clinical Management Guideline for </w:t>
      </w:r>
      <w:r w:rsidR="00AA7D11">
        <w:rPr>
          <w:rFonts w:ascii="Verdana" w:hAnsi="Verdana"/>
          <w:b/>
          <w:sz w:val="32"/>
          <w:szCs w:val="32"/>
        </w:rPr>
        <w:t xml:space="preserve">Thyroid </w:t>
      </w:r>
      <w:r w:rsidR="00423B4D">
        <w:rPr>
          <w:rFonts w:ascii="Verdana" w:hAnsi="Verdana"/>
          <w:b/>
          <w:sz w:val="32"/>
          <w:szCs w:val="32"/>
        </w:rPr>
        <w:t xml:space="preserve">Nodules and </w:t>
      </w:r>
      <w:r w:rsidR="00FE5E4E">
        <w:rPr>
          <w:rFonts w:ascii="Verdana" w:hAnsi="Verdana"/>
          <w:b/>
          <w:sz w:val="32"/>
          <w:szCs w:val="32"/>
        </w:rPr>
        <w:t>Cancer</w:t>
      </w:r>
      <w:r w:rsidR="00463E6E">
        <w:rPr>
          <w:rFonts w:ascii="Verdana" w:hAnsi="Verdana"/>
          <w:b/>
          <w:sz w:val="32"/>
          <w:szCs w:val="32"/>
        </w:rPr>
        <w:t xml:space="preserve"> in Adults</w:t>
      </w:r>
    </w:p>
    <w:p w:rsidR="00423B4D" w:rsidRDefault="00423B4D" w:rsidP="00245193">
      <w:pPr>
        <w:rPr>
          <w:rFonts w:ascii="Verdana" w:hAnsi="Verdana"/>
          <w:sz w:val="20"/>
          <w:szCs w:val="20"/>
        </w:rPr>
      </w:pPr>
    </w:p>
    <w:p w:rsidR="00423B4D" w:rsidRDefault="00423B4D" w:rsidP="00245193">
      <w:pPr>
        <w:rPr>
          <w:rFonts w:ascii="Verdana" w:hAnsi="Verdana"/>
          <w:sz w:val="20"/>
          <w:szCs w:val="20"/>
        </w:rPr>
      </w:pPr>
    </w:p>
    <w:p w:rsidR="00245193" w:rsidRDefault="00C42804" w:rsidP="00245193">
      <w:pPr>
        <w:rPr>
          <w:rFonts w:ascii="Verdana" w:hAnsi="Verdana"/>
          <w:b/>
          <w:sz w:val="20"/>
          <w:szCs w:val="20"/>
        </w:rPr>
      </w:pPr>
      <w:r>
        <w:rPr>
          <w:rFonts w:ascii="Verdana" w:hAnsi="Verdana"/>
          <w:b/>
          <w:sz w:val="20"/>
          <w:szCs w:val="20"/>
        </w:rPr>
        <w:t>PREFACE</w:t>
      </w:r>
    </w:p>
    <w:p w:rsidR="00C42804" w:rsidRPr="00C42804" w:rsidRDefault="00C42804" w:rsidP="00245193">
      <w:pPr>
        <w:rPr>
          <w:rFonts w:ascii="Verdana" w:hAnsi="Verdana"/>
          <w:b/>
          <w:sz w:val="20"/>
          <w:szCs w:val="20"/>
        </w:rPr>
      </w:pPr>
    </w:p>
    <w:p w:rsidR="00245193" w:rsidRPr="00245193" w:rsidRDefault="00245193" w:rsidP="00245193">
      <w:pPr>
        <w:rPr>
          <w:rFonts w:ascii="Verdana" w:hAnsi="Verdana"/>
          <w:sz w:val="20"/>
          <w:szCs w:val="20"/>
        </w:rPr>
      </w:pPr>
      <w:r w:rsidRPr="00245193">
        <w:rPr>
          <w:rFonts w:ascii="Verdana" w:hAnsi="Verdana"/>
          <w:sz w:val="20"/>
          <w:szCs w:val="20"/>
        </w:rPr>
        <w:t xml:space="preserve">Within this document there is information on drug treatments including chemotherapy and targeted therapy. These regimens are to be prescribed in accordance with the chemotherapy operational protocols and master prescriptions which are available on </w:t>
      </w:r>
      <w:hyperlink r:id="rId7" w:history="1">
        <w:r w:rsidRPr="00245193">
          <w:rPr>
            <w:rStyle w:val="Hyperlink"/>
            <w:rFonts w:ascii="Verdana" w:hAnsi="Verdana"/>
            <w:sz w:val="20"/>
            <w:szCs w:val="20"/>
          </w:rPr>
          <w:t>http://intranet.lothian.scot.nhs.uk/NHSLothian/Healthcare/A-Z/CancerServices/Pages/CancerServices.aspx</w:t>
        </w:r>
      </w:hyperlink>
    </w:p>
    <w:p w:rsidR="00245193" w:rsidRPr="00245193" w:rsidRDefault="00245193" w:rsidP="00245193">
      <w:pPr>
        <w:rPr>
          <w:rFonts w:ascii="Verdana" w:hAnsi="Verdana"/>
          <w:sz w:val="20"/>
          <w:szCs w:val="20"/>
        </w:rPr>
      </w:pPr>
    </w:p>
    <w:p w:rsidR="00245193" w:rsidRPr="00E86980" w:rsidRDefault="00245193" w:rsidP="00245193">
      <w:pPr>
        <w:rPr>
          <w:rFonts w:ascii="Verdana" w:hAnsi="Verdana"/>
          <w:sz w:val="20"/>
          <w:szCs w:val="20"/>
        </w:rPr>
      </w:pPr>
      <w:r w:rsidRPr="00E86980">
        <w:rPr>
          <w:rFonts w:ascii="Verdana" w:hAnsi="Verdana"/>
          <w:sz w:val="20"/>
          <w:szCs w:val="20"/>
        </w:rPr>
        <w:t>The radiotherapy protocols are subject to the IRMER regulations. Only Level 4 medical staff may deviate from the protocols contained within this document.  For level 3 medical staff and below these documents should be regarded as procedures which should not be deviated from without authorisation from a level 4 member of staff.</w:t>
      </w:r>
    </w:p>
    <w:p w:rsidR="00D80C86" w:rsidRPr="00E86980" w:rsidRDefault="00D80C86" w:rsidP="00D80C86">
      <w:pPr>
        <w:rPr>
          <w:rFonts w:ascii="Verdana" w:hAnsi="Verdana"/>
          <w:sz w:val="20"/>
          <w:szCs w:val="20"/>
        </w:rPr>
      </w:pPr>
    </w:p>
    <w:p w:rsidR="00D80C86" w:rsidRPr="00E86980" w:rsidRDefault="00D80C86" w:rsidP="00D80C86">
      <w:pPr>
        <w:rPr>
          <w:rFonts w:ascii="Verdana" w:hAnsi="Verdana"/>
          <w:sz w:val="20"/>
          <w:szCs w:val="20"/>
        </w:rPr>
      </w:pPr>
    </w:p>
    <w:p w:rsidR="00D80C86" w:rsidRPr="00E86980" w:rsidRDefault="0038337B" w:rsidP="002C15A9">
      <w:pPr>
        <w:numPr>
          <w:ilvl w:val="0"/>
          <w:numId w:val="4"/>
        </w:numPr>
        <w:rPr>
          <w:rFonts w:ascii="Verdana" w:hAnsi="Verdana"/>
          <w:b/>
          <w:sz w:val="20"/>
          <w:szCs w:val="20"/>
        </w:rPr>
      </w:pPr>
      <w:r w:rsidRPr="00E86980">
        <w:rPr>
          <w:rFonts w:ascii="Verdana" w:hAnsi="Verdana"/>
          <w:b/>
          <w:sz w:val="20"/>
          <w:szCs w:val="20"/>
        </w:rPr>
        <w:t>INTRODUCTION</w:t>
      </w:r>
    </w:p>
    <w:p w:rsidR="0038337B" w:rsidRPr="00E86980" w:rsidRDefault="0038337B" w:rsidP="0038337B">
      <w:pPr>
        <w:rPr>
          <w:rFonts w:ascii="Verdana" w:hAnsi="Verdana"/>
          <w:b/>
          <w:sz w:val="20"/>
          <w:szCs w:val="20"/>
        </w:rPr>
      </w:pPr>
    </w:p>
    <w:p w:rsidR="0038337B" w:rsidRPr="00E86980" w:rsidRDefault="00AA7D11" w:rsidP="00E86980">
      <w:pPr>
        <w:autoSpaceDE w:val="0"/>
        <w:autoSpaceDN w:val="0"/>
        <w:adjustRightInd w:val="0"/>
        <w:rPr>
          <w:rFonts w:ascii="Verdana" w:eastAsia="MS Mincho" w:hAnsi="Verdana" w:cs="AdvTimRomLiebert"/>
          <w:sz w:val="20"/>
          <w:szCs w:val="20"/>
          <w:lang w:val="en-GB" w:eastAsia="ja-JP"/>
        </w:rPr>
      </w:pPr>
      <w:r w:rsidRPr="00E86980">
        <w:rPr>
          <w:rFonts w:ascii="Verdana" w:hAnsi="Verdana"/>
          <w:sz w:val="20"/>
          <w:szCs w:val="20"/>
        </w:rPr>
        <w:t xml:space="preserve">Thyroid nodules are a common clinical problem. </w:t>
      </w:r>
      <w:r w:rsidR="00551827">
        <w:rPr>
          <w:rFonts w:ascii="Verdana" w:hAnsi="Verdana"/>
          <w:sz w:val="20"/>
          <w:szCs w:val="20"/>
        </w:rPr>
        <w:t>Approximately 3-7% of adults have a palpable thyroid nodule, but using ultrasound, prevalence rates increase to 30-70% of adults. Frequency increases with age.</w:t>
      </w:r>
      <w:r w:rsidRPr="00E86980">
        <w:rPr>
          <w:rFonts w:ascii="Verdana" w:hAnsi="Verdana"/>
          <w:sz w:val="20"/>
          <w:szCs w:val="20"/>
        </w:rPr>
        <w:t xml:space="preserve"> The majority </w:t>
      </w:r>
      <w:r w:rsidR="00551827">
        <w:rPr>
          <w:rFonts w:ascii="Verdana" w:hAnsi="Verdana"/>
          <w:sz w:val="20"/>
          <w:szCs w:val="20"/>
        </w:rPr>
        <w:t xml:space="preserve">of thyroid nodules </w:t>
      </w:r>
      <w:r w:rsidRPr="00E86980">
        <w:rPr>
          <w:rFonts w:ascii="Verdana" w:hAnsi="Verdana"/>
          <w:sz w:val="20"/>
          <w:szCs w:val="20"/>
        </w:rPr>
        <w:t xml:space="preserve">are </w:t>
      </w:r>
      <w:r w:rsidR="00551827">
        <w:rPr>
          <w:rFonts w:ascii="Verdana" w:hAnsi="Verdana"/>
          <w:sz w:val="20"/>
          <w:szCs w:val="20"/>
        </w:rPr>
        <w:t>benign – a combination of colloid cysts, hyperplastic nodules and follicular adenomas</w:t>
      </w:r>
      <w:r w:rsidRPr="00E86980">
        <w:rPr>
          <w:rFonts w:ascii="Verdana" w:hAnsi="Verdana"/>
          <w:sz w:val="20"/>
          <w:szCs w:val="20"/>
        </w:rPr>
        <w:t xml:space="preserve">.  </w:t>
      </w:r>
      <w:r w:rsidRPr="00E86980">
        <w:rPr>
          <w:rFonts w:ascii="Verdana" w:eastAsia="MS Mincho" w:hAnsi="Verdana" w:cs="AdvTimRomLiebert"/>
          <w:sz w:val="20"/>
          <w:szCs w:val="20"/>
          <w:lang w:val="en-GB" w:eastAsia="ja-JP"/>
        </w:rPr>
        <w:t xml:space="preserve">Thyroid cancer occurs in 7%–15% of </w:t>
      </w:r>
      <w:r w:rsidR="00551827">
        <w:rPr>
          <w:rFonts w:ascii="Verdana" w:eastAsia="MS Mincho" w:hAnsi="Verdana" w:cs="AdvTimRomLiebert"/>
          <w:sz w:val="20"/>
          <w:szCs w:val="20"/>
          <w:lang w:val="en-GB" w:eastAsia="ja-JP"/>
        </w:rPr>
        <w:t>palpable nodule</w:t>
      </w:r>
      <w:r w:rsidRPr="00E86980">
        <w:rPr>
          <w:rFonts w:ascii="Verdana" w:eastAsia="MS Mincho" w:hAnsi="Verdana" w:cs="AdvTimRomLiebert"/>
          <w:sz w:val="20"/>
          <w:szCs w:val="20"/>
          <w:lang w:val="en-GB" w:eastAsia="ja-JP"/>
        </w:rPr>
        <w:t>, the risk depending on age, sex, radiation exposure history, family</w:t>
      </w:r>
      <w:r w:rsidR="00E86980">
        <w:rPr>
          <w:rFonts w:ascii="Verdana" w:eastAsia="MS Mincho" w:hAnsi="Verdana" w:cs="AdvTimRomLiebert"/>
          <w:sz w:val="20"/>
          <w:szCs w:val="20"/>
          <w:lang w:val="en-GB" w:eastAsia="ja-JP"/>
        </w:rPr>
        <w:t xml:space="preserve"> </w:t>
      </w:r>
      <w:r w:rsidRPr="00E86980">
        <w:rPr>
          <w:rFonts w:ascii="Verdana" w:eastAsia="MS Mincho" w:hAnsi="Verdana" w:cs="AdvTimRomLiebert"/>
          <w:sz w:val="20"/>
          <w:szCs w:val="20"/>
          <w:lang w:val="en-GB" w:eastAsia="ja-JP"/>
        </w:rPr>
        <w:t xml:space="preserve">history, and other factors.  </w:t>
      </w:r>
      <w:r w:rsidR="00551827">
        <w:rPr>
          <w:rFonts w:ascii="Verdana" w:eastAsia="MS Mincho" w:hAnsi="Verdana" w:cs="AdvTimRomLiebert"/>
          <w:sz w:val="20"/>
          <w:szCs w:val="20"/>
          <w:lang w:val="en-GB" w:eastAsia="ja-JP"/>
        </w:rPr>
        <w:t>Impalpable nodules have a lower risk of malignancy, though ~30% of nodules detected by FDG-PET scanning will be cancers.</w:t>
      </w:r>
    </w:p>
    <w:p w:rsidR="00AA7D11" w:rsidRPr="00E86980" w:rsidRDefault="00AA7D11" w:rsidP="00AA7D11">
      <w:pPr>
        <w:rPr>
          <w:rFonts w:ascii="Verdana" w:eastAsia="MS Mincho" w:hAnsi="Verdana" w:cs="AdvTimRomLiebert"/>
          <w:sz w:val="20"/>
          <w:szCs w:val="20"/>
          <w:lang w:val="en-GB" w:eastAsia="ja-JP"/>
        </w:rPr>
      </w:pPr>
    </w:p>
    <w:p w:rsidR="00AA7D11" w:rsidRDefault="00AA7D11" w:rsidP="00AA7D11">
      <w:pPr>
        <w:rPr>
          <w:rFonts w:ascii="Verdana" w:eastAsia="MS Mincho" w:hAnsi="Verdana" w:cs="AdvTimRomLiebert"/>
          <w:sz w:val="20"/>
          <w:szCs w:val="20"/>
          <w:lang w:val="en-GB" w:eastAsia="ja-JP"/>
        </w:rPr>
      </w:pPr>
      <w:r w:rsidRPr="00E86980">
        <w:rPr>
          <w:rFonts w:ascii="Verdana" w:eastAsia="MS Mincho" w:hAnsi="Verdana" w:cs="AdvTimRomLiebert"/>
          <w:sz w:val="20"/>
          <w:szCs w:val="20"/>
          <w:lang w:val="en-GB" w:eastAsia="ja-JP"/>
        </w:rPr>
        <w:t xml:space="preserve">The majority of </w:t>
      </w:r>
      <w:r w:rsidR="00551827">
        <w:rPr>
          <w:rFonts w:ascii="Verdana" w:eastAsia="MS Mincho" w:hAnsi="Verdana" w:cs="AdvTimRomLiebert"/>
          <w:sz w:val="20"/>
          <w:szCs w:val="20"/>
          <w:lang w:val="en-GB" w:eastAsia="ja-JP"/>
        </w:rPr>
        <w:t xml:space="preserve">malignant </w:t>
      </w:r>
      <w:r w:rsidRPr="00E86980">
        <w:rPr>
          <w:rFonts w:ascii="Verdana" w:eastAsia="MS Mincho" w:hAnsi="Verdana" w:cs="AdvTimRomLiebert"/>
          <w:sz w:val="20"/>
          <w:szCs w:val="20"/>
          <w:lang w:val="en-GB" w:eastAsia="ja-JP"/>
        </w:rPr>
        <w:t xml:space="preserve">thyroid tumours (&gt;90%) are differentiated thyroid cancer (DTC).  DTC incorporates both papillary and follicular thyroid tumours.  </w:t>
      </w:r>
      <w:r w:rsidR="00E86980">
        <w:rPr>
          <w:rFonts w:ascii="Verdana" w:eastAsia="MS Mincho" w:hAnsi="Verdana" w:cs="AdvTimRomLiebert"/>
          <w:sz w:val="20"/>
          <w:szCs w:val="20"/>
          <w:lang w:val="en-GB" w:eastAsia="ja-JP"/>
        </w:rPr>
        <w:t>Anaplastic and medullary thyroid cancer</w:t>
      </w:r>
      <w:r w:rsidR="00814A7D">
        <w:rPr>
          <w:rFonts w:ascii="Verdana" w:eastAsia="MS Mincho" w:hAnsi="Verdana" w:cs="AdvTimRomLiebert"/>
          <w:sz w:val="20"/>
          <w:szCs w:val="20"/>
          <w:lang w:val="en-GB" w:eastAsia="ja-JP"/>
        </w:rPr>
        <w:t>s</w:t>
      </w:r>
      <w:r w:rsidR="00E86980">
        <w:rPr>
          <w:rFonts w:ascii="Verdana" w:eastAsia="MS Mincho" w:hAnsi="Verdana" w:cs="AdvTimRomLiebert"/>
          <w:sz w:val="20"/>
          <w:szCs w:val="20"/>
          <w:lang w:val="en-GB" w:eastAsia="ja-JP"/>
        </w:rPr>
        <w:t xml:space="preserve"> </w:t>
      </w:r>
      <w:r w:rsidR="00AE7743">
        <w:rPr>
          <w:rFonts w:ascii="Verdana" w:eastAsia="MS Mincho" w:hAnsi="Verdana" w:cs="AdvTimRomLiebert"/>
          <w:sz w:val="20"/>
          <w:szCs w:val="20"/>
          <w:lang w:val="en-GB" w:eastAsia="ja-JP"/>
        </w:rPr>
        <w:t>are</w:t>
      </w:r>
      <w:r w:rsidR="00E86980">
        <w:rPr>
          <w:rFonts w:ascii="Verdana" w:eastAsia="MS Mincho" w:hAnsi="Verdana" w:cs="AdvTimRomLiebert"/>
          <w:sz w:val="20"/>
          <w:szCs w:val="20"/>
          <w:lang w:val="en-GB" w:eastAsia="ja-JP"/>
        </w:rPr>
        <w:t xml:space="preserve"> treated differently</w:t>
      </w:r>
      <w:r w:rsidR="00551827">
        <w:rPr>
          <w:rFonts w:ascii="Verdana" w:eastAsia="MS Mincho" w:hAnsi="Verdana" w:cs="AdvTimRomLiebert"/>
          <w:sz w:val="20"/>
          <w:szCs w:val="20"/>
          <w:lang w:val="en-GB" w:eastAsia="ja-JP"/>
        </w:rPr>
        <w:t xml:space="preserve"> (see below)</w:t>
      </w:r>
      <w:r w:rsidR="00E86980">
        <w:rPr>
          <w:rFonts w:ascii="Verdana" w:eastAsia="MS Mincho" w:hAnsi="Verdana" w:cs="AdvTimRomLiebert"/>
          <w:sz w:val="20"/>
          <w:szCs w:val="20"/>
          <w:lang w:val="en-GB" w:eastAsia="ja-JP"/>
        </w:rPr>
        <w:t>.</w:t>
      </w:r>
    </w:p>
    <w:p w:rsidR="00E86980" w:rsidRDefault="00E86980" w:rsidP="00AA7D11">
      <w:pPr>
        <w:rPr>
          <w:rFonts w:ascii="Verdana" w:eastAsia="MS Mincho" w:hAnsi="Verdana" w:cs="AdvTimRomLiebert"/>
          <w:sz w:val="20"/>
          <w:szCs w:val="20"/>
          <w:lang w:val="en-GB" w:eastAsia="ja-JP"/>
        </w:rPr>
      </w:pPr>
    </w:p>
    <w:p w:rsidR="008D200C" w:rsidRDefault="00E86980" w:rsidP="00AA7D11">
      <w:pPr>
        <w:rPr>
          <w:rFonts w:ascii="Verdana" w:eastAsia="MS Mincho" w:hAnsi="Verdana" w:cs="AdvTimRomLiebert"/>
          <w:sz w:val="20"/>
          <w:szCs w:val="20"/>
          <w:lang w:val="en-GB" w:eastAsia="ja-JP"/>
        </w:rPr>
      </w:pPr>
      <w:r>
        <w:rPr>
          <w:rFonts w:ascii="Verdana" w:eastAsia="MS Mincho" w:hAnsi="Verdana" w:cs="AdvTimRomLiebert"/>
          <w:sz w:val="20"/>
          <w:szCs w:val="20"/>
          <w:lang w:val="en-GB" w:eastAsia="ja-JP"/>
        </w:rPr>
        <w:t>The incidence of thyroid cancer is increasing rapid</w:t>
      </w:r>
      <w:r w:rsidR="00551827">
        <w:rPr>
          <w:rFonts w:ascii="Verdana" w:eastAsia="MS Mincho" w:hAnsi="Verdana" w:cs="AdvTimRomLiebert"/>
          <w:sz w:val="20"/>
          <w:szCs w:val="20"/>
          <w:lang w:val="en-GB" w:eastAsia="ja-JP"/>
        </w:rPr>
        <w:t>ly, although the mortality is not rising</w:t>
      </w:r>
      <w:r>
        <w:rPr>
          <w:rFonts w:ascii="Verdana" w:eastAsia="MS Mincho" w:hAnsi="Verdana" w:cs="AdvTimRomLiebert"/>
          <w:sz w:val="20"/>
          <w:szCs w:val="20"/>
          <w:lang w:val="en-GB" w:eastAsia="ja-JP"/>
        </w:rPr>
        <w:t xml:space="preserve">.  This is likely </w:t>
      </w:r>
      <w:r w:rsidRPr="00E86980">
        <w:rPr>
          <w:rFonts w:ascii="Verdana" w:eastAsia="MS Mincho" w:hAnsi="Verdana" w:cs="AdvTimRomLiebert"/>
          <w:sz w:val="20"/>
          <w:szCs w:val="20"/>
          <w:lang w:val="en-GB" w:eastAsia="ja-JP"/>
        </w:rPr>
        <w:t>to be due in part to an increase in imaging picking up tumours that wouldn’t ever have presented clinically.</w:t>
      </w:r>
    </w:p>
    <w:p w:rsidR="008D200C" w:rsidRPr="00814A7D" w:rsidRDefault="008D200C" w:rsidP="005861F6">
      <w:pPr>
        <w:numPr>
          <w:ilvl w:val="0"/>
          <w:numId w:val="6"/>
        </w:numPr>
        <w:spacing w:before="100" w:beforeAutospacing="1" w:after="100" w:afterAutospacing="1"/>
        <w:rPr>
          <w:rFonts w:ascii="Verdana" w:eastAsia="MS Mincho" w:hAnsi="Verdana" w:cs="Arial"/>
          <w:sz w:val="20"/>
          <w:szCs w:val="20"/>
          <w:lang w:eastAsia="ja-JP"/>
        </w:rPr>
      </w:pPr>
      <w:r w:rsidRPr="00814A7D">
        <w:rPr>
          <w:rFonts w:ascii="Verdana" w:eastAsia="MS Mincho" w:hAnsi="Verdana" w:cs="Arial"/>
          <w:sz w:val="20"/>
          <w:szCs w:val="20"/>
          <w:lang w:eastAsia="ja-JP"/>
        </w:rPr>
        <w:t>Approx 3,200 new cases of thyroid cancer in the UK p</w:t>
      </w:r>
      <w:r w:rsidR="00814A7D">
        <w:rPr>
          <w:rFonts w:ascii="Verdana" w:eastAsia="MS Mincho" w:hAnsi="Verdana" w:cs="Arial"/>
          <w:sz w:val="20"/>
          <w:szCs w:val="20"/>
          <w:lang w:eastAsia="ja-JP"/>
        </w:rPr>
        <w:t>.</w:t>
      </w:r>
      <w:r w:rsidRPr="00814A7D">
        <w:rPr>
          <w:rFonts w:ascii="Verdana" w:eastAsia="MS Mincho" w:hAnsi="Verdana" w:cs="Arial"/>
          <w:sz w:val="20"/>
          <w:szCs w:val="20"/>
          <w:lang w:eastAsia="ja-JP"/>
        </w:rPr>
        <w:t>a</w:t>
      </w:r>
      <w:r w:rsidR="00814A7D">
        <w:rPr>
          <w:rFonts w:ascii="Verdana" w:eastAsia="MS Mincho" w:hAnsi="Verdana" w:cs="Arial"/>
          <w:sz w:val="20"/>
          <w:szCs w:val="20"/>
          <w:lang w:eastAsia="ja-JP"/>
        </w:rPr>
        <w:t>.</w:t>
      </w:r>
      <w:r w:rsidRPr="00814A7D">
        <w:rPr>
          <w:rFonts w:ascii="Verdana" w:eastAsia="MS Mincho" w:hAnsi="Verdana" w:cs="Arial"/>
          <w:sz w:val="20"/>
          <w:szCs w:val="20"/>
          <w:lang w:eastAsia="ja-JP"/>
        </w:rPr>
        <w:t>, making it the 19th most common cancer</w:t>
      </w:r>
    </w:p>
    <w:p w:rsidR="008D200C" w:rsidRPr="00814A7D" w:rsidRDefault="008D200C" w:rsidP="005861F6">
      <w:pPr>
        <w:numPr>
          <w:ilvl w:val="0"/>
          <w:numId w:val="6"/>
        </w:numPr>
        <w:spacing w:before="100" w:beforeAutospacing="1" w:after="100" w:afterAutospacing="1"/>
        <w:rPr>
          <w:rFonts w:ascii="Verdana" w:eastAsia="MS Mincho" w:hAnsi="Verdana" w:cs="Arial"/>
          <w:sz w:val="20"/>
          <w:szCs w:val="20"/>
          <w:lang w:eastAsia="ja-JP"/>
        </w:rPr>
      </w:pPr>
      <w:r w:rsidRPr="00814A7D">
        <w:rPr>
          <w:rFonts w:ascii="Verdana" w:eastAsia="MS Mincho" w:hAnsi="Verdana" w:cs="Arial"/>
          <w:sz w:val="20"/>
          <w:szCs w:val="20"/>
          <w:lang w:eastAsia="ja-JP"/>
        </w:rPr>
        <w:t>More than half (52%) of thyroid cancer cases in the UK each year are diagn</w:t>
      </w:r>
      <w:r w:rsidR="00AE7743" w:rsidRPr="00814A7D">
        <w:rPr>
          <w:rFonts w:ascii="Verdana" w:eastAsia="MS Mincho" w:hAnsi="Verdana" w:cs="Arial"/>
          <w:sz w:val="20"/>
          <w:szCs w:val="20"/>
          <w:lang w:eastAsia="ja-JP"/>
        </w:rPr>
        <w:t>osed in people aged 50 and over</w:t>
      </w:r>
    </w:p>
    <w:p w:rsidR="008D200C" w:rsidRPr="00814A7D" w:rsidRDefault="008D200C" w:rsidP="005861F6">
      <w:pPr>
        <w:numPr>
          <w:ilvl w:val="0"/>
          <w:numId w:val="6"/>
        </w:numPr>
        <w:spacing w:before="100" w:beforeAutospacing="1" w:after="100" w:afterAutospacing="1"/>
        <w:rPr>
          <w:rFonts w:ascii="Verdana" w:eastAsia="MS Mincho" w:hAnsi="Verdana" w:cs="Arial"/>
          <w:sz w:val="20"/>
          <w:szCs w:val="20"/>
          <w:lang w:eastAsia="ja-JP"/>
        </w:rPr>
      </w:pPr>
      <w:r w:rsidRPr="00814A7D">
        <w:rPr>
          <w:rFonts w:ascii="Verdana" w:eastAsia="MS Mincho" w:hAnsi="Verdana" w:cs="Arial"/>
          <w:sz w:val="20"/>
          <w:szCs w:val="20"/>
          <w:lang w:eastAsia="ja-JP"/>
        </w:rPr>
        <w:t>Over the last decade, thyroid cancer incidence rates have increased by more than two-thirds (71%) in the UK, which includes similar increases in females (73%) and males (70%).</w:t>
      </w:r>
    </w:p>
    <w:p w:rsidR="008D200C" w:rsidRPr="00814A7D" w:rsidRDefault="008D200C" w:rsidP="005861F6">
      <w:pPr>
        <w:numPr>
          <w:ilvl w:val="0"/>
          <w:numId w:val="6"/>
        </w:numPr>
        <w:ind w:left="714" w:hanging="357"/>
        <w:rPr>
          <w:rFonts w:ascii="Verdana" w:eastAsia="MS Mincho" w:hAnsi="Verdana" w:cs="Arial"/>
          <w:sz w:val="20"/>
          <w:szCs w:val="20"/>
          <w:lang w:eastAsia="ja-JP"/>
        </w:rPr>
      </w:pPr>
      <w:r w:rsidRPr="00814A7D">
        <w:rPr>
          <w:rFonts w:ascii="Verdana" w:eastAsia="MS Mincho" w:hAnsi="Verdana" w:cs="Arial"/>
          <w:sz w:val="20"/>
          <w:szCs w:val="20"/>
          <w:lang w:eastAsia="ja-JP"/>
        </w:rPr>
        <w:t>Thyroid cancer in England is not associated with deprivation.</w:t>
      </w:r>
    </w:p>
    <w:p w:rsidR="008D200C" w:rsidRPr="00814A7D" w:rsidRDefault="008D200C" w:rsidP="005861F6">
      <w:pPr>
        <w:numPr>
          <w:ilvl w:val="0"/>
          <w:numId w:val="6"/>
        </w:numPr>
        <w:spacing w:before="100" w:beforeAutospacing="1" w:after="100" w:afterAutospacing="1"/>
        <w:rPr>
          <w:rFonts w:ascii="Verdana" w:eastAsia="MS Mincho" w:hAnsi="Verdana" w:cs="Arial"/>
          <w:sz w:val="20"/>
          <w:szCs w:val="20"/>
          <w:lang w:eastAsia="ja-JP"/>
        </w:rPr>
      </w:pPr>
      <w:r w:rsidRPr="00814A7D">
        <w:rPr>
          <w:rFonts w:ascii="Verdana" w:eastAsia="MS Mincho" w:hAnsi="Verdana" w:cs="Arial"/>
          <w:sz w:val="20"/>
          <w:szCs w:val="20"/>
          <w:lang w:eastAsia="ja-JP"/>
        </w:rPr>
        <w:t>Thyroid cancer mortality rates in women in the UK have more than halved in the last 40 years. In men they have fallen by almost a third.</w:t>
      </w:r>
    </w:p>
    <w:p w:rsidR="008650E5" w:rsidRDefault="008D200C" w:rsidP="005861F6">
      <w:pPr>
        <w:numPr>
          <w:ilvl w:val="0"/>
          <w:numId w:val="6"/>
        </w:numPr>
        <w:spacing w:before="100" w:beforeAutospacing="1" w:after="100" w:afterAutospacing="1"/>
        <w:rPr>
          <w:rFonts w:ascii="Verdana" w:eastAsia="MS Mincho" w:hAnsi="Verdana" w:cs="Arial"/>
          <w:sz w:val="20"/>
          <w:szCs w:val="20"/>
          <w:lang w:eastAsia="ja-JP"/>
        </w:rPr>
      </w:pPr>
      <w:r w:rsidRPr="00814A7D">
        <w:rPr>
          <w:rFonts w:ascii="Verdana" w:eastAsia="MS Mincho" w:hAnsi="Verdana" w:cs="Arial"/>
          <w:sz w:val="20"/>
          <w:szCs w:val="20"/>
          <w:lang w:eastAsia="ja-JP"/>
        </w:rPr>
        <w:t>In 2012, around 370 people in the UK died from thyroid cancer</w:t>
      </w:r>
    </w:p>
    <w:p w:rsidR="003A1064" w:rsidRPr="00814A7D" w:rsidRDefault="003A1064" w:rsidP="005861F6">
      <w:pPr>
        <w:spacing w:before="100" w:beforeAutospacing="1" w:after="100" w:afterAutospacing="1"/>
        <w:ind w:left="720"/>
        <w:rPr>
          <w:rFonts w:ascii="Verdana" w:eastAsia="MS Mincho" w:hAnsi="Verdana" w:cs="Arial"/>
          <w:sz w:val="20"/>
          <w:szCs w:val="20"/>
          <w:lang w:eastAsia="ja-JP"/>
        </w:rPr>
      </w:pPr>
    </w:p>
    <w:p w:rsidR="008650E5" w:rsidRPr="00E86980" w:rsidRDefault="008650E5" w:rsidP="002C15A9">
      <w:pPr>
        <w:numPr>
          <w:ilvl w:val="0"/>
          <w:numId w:val="4"/>
        </w:numPr>
        <w:rPr>
          <w:rFonts w:ascii="Verdana" w:eastAsia="MS Mincho" w:hAnsi="Verdana" w:cs="AdvTimRomLiebert"/>
          <w:b/>
          <w:sz w:val="20"/>
          <w:szCs w:val="20"/>
          <w:lang w:val="en-GB" w:eastAsia="ja-JP"/>
        </w:rPr>
      </w:pPr>
      <w:r w:rsidRPr="00E86980">
        <w:rPr>
          <w:rFonts w:ascii="Verdana" w:eastAsia="MS Mincho" w:hAnsi="Verdana" w:cs="AdvTimRomLiebert"/>
          <w:b/>
          <w:sz w:val="20"/>
          <w:szCs w:val="20"/>
          <w:lang w:val="en-GB" w:eastAsia="ja-JP"/>
        </w:rPr>
        <w:lastRenderedPageBreak/>
        <w:t>THYROID NODULES</w:t>
      </w:r>
    </w:p>
    <w:p w:rsidR="008650E5" w:rsidRPr="00E86980" w:rsidRDefault="008650E5" w:rsidP="008650E5">
      <w:pPr>
        <w:rPr>
          <w:rFonts w:ascii="Verdana" w:eastAsia="MS Mincho" w:hAnsi="Verdana" w:cs="AdvTimRomLiebert"/>
          <w:sz w:val="20"/>
          <w:szCs w:val="20"/>
          <w:lang w:val="en-GB" w:eastAsia="ja-JP"/>
        </w:rPr>
      </w:pPr>
    </w:p>
    <w:p w:rsidR="0024756F" w:rsidRDefault="0024756F" w:rsidP="0024756F">
      <w:pPr>
        <w:rPr>
          <w:rFonts w:ascii="Verdana" w:eastAsia="MS Mincho" w:hAnsi="Verdana" w:cs="AdvTimRomLiebert"/>
          <w:sz w:val="20"/>
          <w:szCs w:val="20"/>
          <w:lang w:val="en-GB" w:eastAsia="ja-JP"/>
        </w:rPr>
      </w:pPr>
      <w:r>
        <w:rPr>
          <w:rFonts w:ascii="Verdana" w:eastAsia="MS Mincho" w:hAnsi="Verdana" w:cs="AdvTimRomLiebert"/>
          <w:sz w:val="20"/>
          <w:szCs w:val="20"/>
          <w:lang w:val="en-GB" w:eastAsia="ja-JP"/>
        </w:rPr>
        <w:t xml:space="preserve">All patients with a thyroid nodule should have thyroid function assessed (TFTs). Functional nodules, associated with a low or undetectable TSH, have an extremely small chance of malignancy and should be assessed and managed through general endocrinology. Patients with thyroid nodule(s) and normal TFTs may be referred to the Thyroid Nodule Clinic (TNC) at the RIE (Strachan/Gibb) or the Neck Lump Clinic at Lauriston Building (Adamson/Nixon). </w:t>
      </w:r>
    </w:p>
    <w:p w:rsidR="0024756F" w:rsidRDefault="0024756F" w:rsidP="0024756F">
      <w:pPr>
        <w:rPr>
          <w:rFonts w:ascii="Verdana" w:eastAsia="MS Mincho" w:hAnsi="Verdana" w:cs="AdvTimRomLiebert"/>
          <w:sz w:val="20"/>
          <w:szCs w:val="20"/>
          <w:lang w:val="en-GB" w:eastAsia="ja-JP"/>
        </w:rPr>
      </w:pPr>
    </w:p>
    <w:p w:rsidR="0024756F" w:rsidRPr="00E86980" w:rsidRDefault="0024756F" w:rsidP="0024756F">
      <w:pPr>
        <w:rPr>
          <w:rFonts w:ascii="Verdana" w:eastAsia="MS Mincho" w:hAnsi="Verdana" w:cs="AdvTimRomLiebert"/>
          <w:sz w:val="20"/>
          <w:szCs w:val="20"/>
          <w:lang w:val="en-GB" w:eastAsia="ja-JP"/>
        </w:rPr>
      </w:pPr>
      <w:r>
        <w:rPr>
          <w:rFonts w:ascii="Verdana" w:eastAsia="MS Mincho" w:hAnsi="Verdana" w:cs="AdvTimRomLiebert"/>
          <w:sz w:val="20"/>
          <w:szCs w:val="20"/>
          <w:lang w:val="en-GB" w:eastAsia="ja-JP"/>
        </w:rPr>
        <w:t>Initial a</w:t>
      </w:r>
      <w:r w:rsidRPr="00E86980">
        <w:rPr>
          <w:rFonts w:ascii="Verdana" w:eastAsia="MS Mincho" w:hAnsi="Verdana" w:cs="AdvTimRomLiebert"/>
          <w:sz w:val="20"/>
          <w:szCs w:val="20"/>
          <w:lang w:val="en-GB" w:eastAsia="ja-JP"/>
        </w:rPr>
        <w:t xml:space="preserve">ssessment </w:t>
      </w:r>
      <w:r>
        <w:rPr>
          <w:rFonts w:ascii="Verdana" w:eastAsia="MS Mincho" w:hAnsi="Verdana" w:cs="AdvTimRomLiebert"/>
          <w:sz w:val="20"/>
          <w:szCs w:val="20"/>
          <w:lang w:val="en-GB" w:eastAsia="ja-JP"/>
        </w:rPr>
        <w:t>is by thyroid/neck ultrasound. This is a highly specialised area of radiology and should be undertaken by radiologists with particular expertise in this field and who can confidently grade thyroid nodules according to the U1-U5 classification recommended by the British Thyroid Association.</w:t>
      </w:r>
    </w:p>
    <w:p w:rsidR="00E86980" w:rsidRPr="00E86980" w:rsidRDefault="00E86980" w:rsidP="00E86980">
      <w:pPr>
        <w:spacing w:line="360" w:lineRule="auto"/>
        <w:jc w:val="both"/>
        <w:rPr>
          <w:rFonts w:ascii="Verdana" w:hAnsi="Verdana"/>
          <w:sz w:val="20"/>
          <w:szCs w:val="20"/>
        </w:rPr>
      </w:pPr>
    </w:p>
    <w:p w:rsidR="00E86980" w:rsidRPr="00E86980" w:rsidRDefault="00FC7CA2" w:rsidP="008650E5">
      <w:pPr>
        <w:rPr>
          <w:rFonts w:ascii="Verdana" w:hAnsi="Verdana"/>
          <w:sz w:val="20"/>
          <w:szCs w:val="20"/>
        </w:rPr>
      </w:pPr>
      <w:r>
        <w:rPr>
          <w:noProof/>
          <w:lang w:val="en-GB" w:eastAsia="en-GB"/>
        </w:rPr>
        <w:drawing>
          <wp:anchor distT="0" distB="0" distL="114300" distR="114300" simplePos="0" relativeHeight="251657728" behindDoc="0" locked="0" layoutInCell="1" allowOverlap="1">
            <wp:simplePos x="0" y="0"/>
            <wp:positionH relativeFrom="column">
              <wp:posOffset>1257300</wp:posOffset>
            </wp:positionH>
            <wp:positionV relativeFrom="paragraph">
              <wp:posOffset>42545</wp:posOffset>
            </wp:positionV>
            <wp:extent cx="3547745" cy="3369945"/>
            <wp:effectExtent l="19050" t="0" r="0" b="0"/>
            <wp:wrapTight wrapText="bothSides">
              <wp:wrapPolygon edited="0">
                <wp:start x="-116" y="0"/>
                <wp:lineTo x="-116" y="21490"/>
                <wp:lineTo x="21573" y="21490"/>
                <wp:lineTo x="21573" y="0"/>
                <wp:lineTo x="-1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47745" cy="3369945"/>
                    </a:xfrm>
                    <a:prstGeom prst="rect">
                      <a:avLst/>
                    </a:prstGeom>
                    <a:noFill/>
                    <a:ln w="9525">
                      <a:noFill/>
                      <a:miter lim="800000"/>
                      <a:headEnd/>
                      <a:tailEnd/>
                    </a:ln>
                  </pic:spPr>
                </pic:pic>
              </a:graphicData>
            </a:graphic>
          </wp:anchor>
        </w:drawing>
      </w:r>
    </w:p>
    <w:p w:rsidR="00551827" w:rsidRDefault="00551827" w:rsidP="00551827">
      <w:pPr>
        <w:widowControl w:val="0"/>
        <w:autoSpaceDE w:val="0"/>
        <w:autoSpaceDN w:val="0"/>
        <w:adjustRightInd w:val="0"/>
        <w:spacing w:after="240" w:line="200" w:lineRule="atLeast"/>
        <w:rPr>
          <w:rFonts w:ascii="Times" w:hAnsi="Times" w:cs="Times"/>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Default="00FE5E4E" w:rsidP="00551827">
      <w:pPr>
        <w:widowControl w:val="0"/>
        <w:autoSpaceDE w:val="0"/>
        <w:autoSpaceDN w:val="0"/>
        <w:adjustRightInd w:val="0"/>
        <w:spacing w:after="240" w:line="200" w:lineRule="atLeast"/>
        <w:rPr>
          <w:rFonts w:ascii="Times New Roman" w:hAnsi="Times New Roman"/>
          <w:sz w:val="18"/>
          <w:szCs w:val="18"/>
        </w:rPr>
      </w:pPr>
    </w:p>
    <w:p w:rsidR="00FE5E4E" w:rsidRPr="00C9282E" w:rsidRDefault="00FE5E4E" w:rsidP="00551827">
      <w:pPr>
        <w:widowControl w:val="0"/>
        <w:autoSpaceDE w:val="0"/>
        <w:autoSpaceDN w:val="0"/>
        <w:adjustRightInd w:val="0"/>
        <w:spacing w:after="240" w:line="200" w:lineRule="atLeast"/>
        <w:rPr>
          <w:rFonts w:ascii="Verdana" w:hAnsi="Verdana"/>
          <w:sz w:val="18"/>
          <w:szCs w:val="18"/>
        </w:rPr>
      </w:pPr>
    </w:p>
    <w:p w:rsidR="00551827" w:rsidRPr="00C9282E" w:rsidRDefault="00551827" w:rsidP="00551827">
      <w:pPr>
        <w:widowControl w:val="0"/>
        <w:autoSpaceDE w:val="0"/>
        <w:autoSpaceDN w:val="0"/>
        <w:adjustRightInd w:val="0"/>
        <w:spacing w:after="240" w:line="200" w:lineRule="atLeast"/>
        <w:rPr>
          <w:rFonts w:ascii="Verdana" w:hAnsi="Verdana" w:cs="Times"/>
          <w:sz w:val="20"/>
          <w:szCs w:val="20"/>
        </w:rPr>
      </w:pPr>
      <w:r w:rsidRPr="00C9282E">
        <w:rPr>
          <w:rFonts w:ascii="Verdana" w:hAnsi="Verdana"/>
          <w:sz w:val="20"/>
          <w:szCs w:val="20"/>
        </w:rPr>
        <w:t xml:space="preserve">U1. Normal. </w:t>
      </w:r>
    </w:p>
    <w:p w:rsidR="00551827" w:rsidRPr="00C9282E" w:rsidRDefault="00551827" w:rsidP="00551827">
      <w:pPr>
        <w:widowControl w:val="0"/>
        <w:autoSpaceDE w:val="0"/>
        <w:autoSpaceDN w:val="0"/>
        <w:adjustRightInd w:val="0"/>
        <w:spacing w:after="240" w:line="200" w:lineRule="atLeast"/>
        <w:rPr>
          <w:rFonts w:ascii="Verdana" w:hAnsi="Verdana" w:cs="Times"/>
          <w:sz w:val="20"/>
          <w:szCs w:val="20"/>
        </w:rPr>
      </w:pPr>
      <w:r w:rsidRPr="00C9282E">
        <w:rPr>
          <w:rFonts w:ascii="Verdana" w:hAnsi="Verdana"/>
          <w:sz w:val="20"/>
          <w:szCs w:val="20"/>
        </w:rPr>
        <w:t>U2. Benign:(a) halo, iso-echoic / mildly hyper-echoic(b) cystic change +/- ring down sign (colloid) (c) micro- cystic / spongiform</w:t>
      </w:r>
      <w:r w:rsidR="00EE1A45">
        <w:rPr>
          <w:rFonts w:ascii="Times New Roman" w:hAnsi="Times New Roman"/>
          <w:sz w:val="20"/>
          <w:szCs w:val="20"/>
        </w:rPr>
        <w:t xml:space="preserve"> </w:t>
      </w:r>
      <w:r w:rsidRPr="00C9282E">
        <w:rPr>
          <w:rFonts w:ascii="Verdana" w:hAnsi="Verdana"/>
          <w:sz w:val="20"/>
          <w:szCs w:val="20"/>
        </w:rPr>
        <w:t xml:space="preserve">(d &amp; e) peripheral egg shell calcification(f) peripheral vascularity. </w:t>
      </w:r>
    </w:p>
    <w:p w:rsidR="00551827" w:rsidRPr="00C9282E" w:rsidRDefault="00551827" w:rsidP="00551827">
      <w:pPr>
        <w:widowControl w:val="0"/>
        <w:autoSpaceDE w:val="0"/>
        <w:autoSpaceDN w:val="0"/>
        <w:adjustRightInd w:val="0"/>
        <w:spacing w:after="240" w:line="200" w:lineRule="atLeast"/>
        <w:rPr>
          <w:rFonts w:ascii="Verdana" w:hAnsi="Verdana" w:cs="Times"/>
          <w:sz w:val="20"/>
          <w:szCs w:val="20"/>
        </w:rPr>
      </w:pPr>
      <w:r w:rsidRPr="00C9282E">
        <w:rPr>
          <w:rFonts w:ascii="Verdana" w:hAnsi="Verdana"/>
          <w:sz w:val="20"/>
          <w:szCs w:val="20"/>
        </w:rPr>
        <w:t>U3. Indeterminate/Equivocal:</w:t>
      </w:r>
      <w:r w:rsidR="00EE1A45">
        <w:rPr>
          <w:rFonts w:ascii="Verdana" w:hAnsi="Verdana"/>
          <w:sz w:val="20"/>
          <w:szCs w:val="20"/>
        </w:rPr>
        <w:t xml:space="preserve"> </w:t>
      </w:r>
      <w:r w:rsidRPr="00C9282E">
        <w:rPr>
          <w:rFonts w:ascii="Verdana" w:hAnsi="Verdana"/>
          <w:sz w:val="20"/>
          <w:szCs w:val="20"/>
        </w:rPr>
        <w:t xml:space="preserve">(a) homogenous, hyper-echoic (markedly), solid, halo (follicular lesion). (b) ? hypo-echoic, equivocal echogenic foci, cystic change(c) mixed/central vascularity. </w:t>
      </w:r>
    </w:p>
    <w:p w:rsidR="00551827" w:rsidRPr="00C9282E" w:rsidRDefault="00551827" w:rsidP="00551827">
      <w:pPr>
        <w:widowControl w:val="0"/>
        <w:autoSpaceDE w:val="0"/>
        <w:autoSpaceDN w:val="0"/>
        <w:adjustRightInd w:val="0"/>
        <w:spacing w:after="240" w:line="200" w:lineRule="atLeast"/>
        <w:rPr>
          <w:rFonts w:ascii="Verdana" w:hAnsi="Verdana" w:cs="Times"/>
          <w:sz w:val="20"/>
          <w:szCs w:val="20"/>
        </w:rPr>
      </w:pPr>
      <w:r w:rsidRPr="00C9282E">
        <w:rPr>
          <w:rFonts w:ascii="Verdana" w:hAnsi="Verdana"/>
          <w:sz w:val="20"/>
          <w:szCs w:val="20"/>
        </w:rPr>
        <w:t>U4. Suspicious:(a) solid, hypo-echoic (cf thyroid)</w:t>
      </w:r>
      <w:r w:rsidR="00EE1A45">
        <w:rPr>
          <w:rFonts w:ascii="Times New Roman" w:hAnsi="Times New Roman"/>
          <w:sz w:val="20"/>
          <w:szCs w:val="20"/>
        </w:rPr>
        <w:t xml:space="preserve"> </w:t>
      </w:r>
      <w:r w:rsidRPr="00C9282E">
        <w:rPr>
          <w:rFonts w:ascii="Verdana" w:hAnsi="Verdana"/>
          <w:sz w:val="20"/>
          <w:szCs w:val="20"/>
        </w:rPr>
        <w:t>(b) solid, very hypo-echoic (cf strap muscle)</w:t>
      </w:r>
      <w:r w:rsidR="00EE1A45">
        <w:rPr>
          <w:rFonts w:ascii="Times New Roman" w:hAnsi="Times New Roman"/>
          <w:sz w:val="20"/>
          <w:szCs w:val="20"/>
        </w:rPr>
        <w:t xml:space="preserve"> </w:t>
      </w:r>
      <w:r w:rsidRPr="00C9282E">
        <w:rPr>
          <w:rFonts w:ascii="Verdana" w:hAnsi="Verdana"/>
          <w:sz w:val="20"/>
          <w:szCs w:val="20"/>
        </w:rPr>
        <w:t xml:space="preserve">(c) disrupted peripheral calcification, hypo-echoic (d) lobulated outline </w:t>
      </w:r>
    </w:p>
    <w:p w:rsidR="00551827" w:rsidRPr="00C9282E" w:rsidRDefault="00551827" w:rsidP="00551827">
      <w:pPr>
        <w:widowControl w:val="0"/>
        <w:autoSpaceDE w:val="0"/>
        <w:autoSpaceDN w:val="0"/>
        <w:adjustRightInd w:val="0"/>
        <w:spacing w:after="240" w:line="200" w:lineRule="atLeast"/>
        <w:rPr>
          <w:rFonts w:ascii="Verdana" w:hAnsi="Verdana" w:cs="Times"/>
          <w:sz w:val="20"/>
          <w:szCs w:val="20"/>
        </w:rPr>
      </w:pPr>
      <w:r w:rsidRPr="00C9282E">
        <w:rPr>
          <w:rFonts w:ascii="Verdana" w:hAnsi="Verdana"/>
          <w:sz w:val="20"/>
          <w:szCs w:val="20"/>
        </w:rPr>
        <w:t xml:space="preserve">U5. Malignant(a) solid, hypo-echoic, lobulated / irregular outline, micro-calcification. (? </w:t>
      </w:r>
      <w:r w:rsidRPr="00C9282E">
        <w:rPr>
          <w:rFonts w:ascii="Verdana" w:hAnsi="Verdana"/>
          <w:sz w:val="20"/>
          <w:szCs w:val="20"/>
        </w:rPr>
        <w:lastRenderedPageBreak/>
        <w:t>Papillary carcinoma)</w:t>
      </w:r>
      <w:r w:rsidR="00EE1A45">
        <w:rPr>
          <w:rFonts w:ascii="Times New Roman" w:hAnsi="Times New Roman"/>
          <w:sz w:val="20"/>
          <w:szCs w:val="20"/>
        </w:rPr>
        <w:t xml:space="preserve"> </w:t>
      </w:r>
      <w:r w:rsidRPr="00C9282E">
        <w:rPr>
          <w:rFonts w:ascii="Verdana" w:hAnsi="Verdana"/>
          <w:sz w:val="20"/>
          <w:szCs w:val="20"/>
        </w:rPr>
        <w:t>(b) solid, hypo-echoic, lobulated/irregular outline, globular calcification (? Medullary carcinoma)</w:t>
      </w:r>
      <w:r w:rsidR="00EE1A45">
        <w:rPr>
          <w:rFonts w:ascii="Times New Roman" w:hAnsi="Times New Roman"/>
          <w:sz w:val="20"/>
          <w:szCs w:val="20"/>
        </w:rPr>
        <w:t xml:space="preserve"> </w:t>
      </w:r>
      <w:r w:rsidRPr="00C9282E">
        <w:rPr>
          <w:rFonts w:ascii="Verdana" w:hAnsi="Verdana"/>
          <w:sz w:val="20"/>
          <w:szCs w:val="20"/>
        </w:rPr>
        <w:t>(c) intra-nodular vascularity</w:t>
      </w:r>
      <w:r w:rsidR="00EE1A45">
        <w:rPr>
          <w:rFonts w:ascii="Times New Roman" w:hAnsi="Times New Roman"/>
          <w:sz w:val="20"/>
          <w:szCs w:val="20"/>
        </w:rPr>
        <w:t xml:space="preserve"> </w:t>
      </w:r>
      <w:r w:rsidRPr="00C9282E">
        <w:rPr>
          <w:rFonts w:ascii="Verdana" w:hAnsi="Verdana"/>
          <w:sz w:val="20"/>
          <w:szCs w:val="20"/>
        </w:rPr>
        <w:t>(d) shape (taller &gt;wide) (AP&gt;TR)</w:t>
      </w:r>
      <w:r w:rsidR="00EE1A45">
        <w:rPr>
          <w:rFonts w:ascii="Times New Roman" w:hAnsi="Times New Roman"/>
          <w:sz w:val="20"/>
          <w:szCs w:val="20"/>
        </w:rPr>
        <w:t xml:space="preserve"> </w:t>
      </w:r>
      <w:r w:rsidRPr="00C9282E">
        <w:rPr>
          <w:rFonts w:ascii="Verdana" w:hAnsi="Verdana"/>
          <w:sz w:val="20"/>
          <w:szCs w:val="20"/>
        </w:rPr>
        <w:t xml:space="preserve">(e) characteristic associated lymphadenopathy </w:t>
      </w:r>
    </w:p>
    <w:p w:rsidR="00551827" w:rsidRPr="00C9282E" w:rsidRDefault="00551827" w:rsidP="00551827">
      <w:pPr>
        <w:widowControl w:val="0"/>
        <w:autoSpaceDE w:val="0"/>
        <w:autoSpaceDN w:val="0"/>
        <w:adjustRightInd w:val="0"/>
        <w:spacing w:line="280" w:lineRule="atLeast"/>
        <w:rPr>
          <w:rFonts w:ascii="Verdana" w:hAnsi="Verdana" w:cs="Times"/>
          <w:sz w:val="20"/>
          <w:szCs w:val="20"/>
        </w:rPr>
      </w:pPr>
    </w:p>
    <w:p w:rsidR="0024756F" w:rsidRPr="00C9282E" w:rsidRDefault="0024756F" w:rsidP="0024756F">
      <w:pPr>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 xml:space="preserve">Fine-needle-aspiration cytology (FNAC) was traditionally performed on all palpable thyroid nodules and concerning nodules identified by imaging, but with the growing local expertise is increasingly reserved for nodules graded U3-U5. Pathological lymph nodes may also be an appropriate target for FNA. U2 nodules may be FNA’d if there is clinical concern, e.g. PET positive or nodule growing on interval imaging. FNA may be performed in clinic for a clearly palpable nodule or under USS guidance. Biopsies are performed using a </w:t>
      </w:r>
      <w:r w:rsidR="00952C8B" w:rsidRPr="00C9282E">
        <w:rPr>
          <w:rFonts w:ascii="Verdana" w:eastAsia="MS Mincho" w:hAnsi="Verdana" w:cs="AdvTimRomLiebert"/>
          <w:sz w:val="20"/>
          <w:szCs w:val="20"/>
          <w:lang w:val="en-GB" w:eastAsia="ja-JP"/>
        </w:rPr>
        <w:t xml:space="preserve">variety of needle sizes (21-25G) depending on the clinician. </w:t>
      </w:r>
      <w:r w:rsidRPr="00C9282E">
        <w:rPr>
          <w:rFonts w:ascii="Verdana" w:eastAsia="MS Mincho" w:hAnsi="Verdana" w:cs="AdvTimRomLiebert"/>
          <w:sz w:val="20"/>
          <w:szCs w:val="20"/>
          <w:lang w:val="en-GB" w:eastAsia="ja-JP"/>
        </w:rPr>
        <w:t>Pathology require two air dried slides, two slides fixed in alcohol and a Cytolyt container with needle rinse. Cyst fluid should be placed only in the Cytolyt container. Core biopsies under USS guidance may be performed under certain circumstances, such as from pathological lymph nodes or if thyroid lymphoma/anaplastic thyroid cancer is suspected. Clopidogrel and DOACS (e.g. apixaban) should be stopped 5 days before a FNA and INR should be &lt;1.5 for patients on warfarin. FNA may be performed safely in patients taking aspirin. All patients should be advised of the risk of bleeding following FNA and advised to seek urgent medical advice if any significant swelling or breathing difficulties afterwards.</w:t>
      </w:r>
    </w:p>
    <w:p w:rsidR="0024756F" w:rsidRPr="00C9282E" w:rsidRDefault="0024756F" w:rsidP="0024756F">
      <w:pPr>
        <w:jc w:val="both"/>
        <w:rPr>
          <w:rFonts w:ascii="Verdana" w:eastAsia="MS Mincho" w:hAnsi="Verdana" w:cs="AdvTimRomLiebert"/>
          <w:sz w:val="20"/>
          <w:szCs w:val="20"/>
          <w:lang w:val="en-GB" w:eastAsia="ja-JP"/>
        </w:rPr>
      </w:pPr>
    </w:p>
    <w:p w:rsidR="0024756F" w:rsidRPr="00C9282E" w:rsidRDefault="0024756F" w:rsidP="0024756F">
      <w:pPr>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Thyroid cytology normally has a two-week turn-around time, but the thyroid pathologists (Thomson/Conn) will provide a more rapid assessment in urgent cases. Thyroid cytology is graded Thy 1- Thy5:</w:t>
      </w:r>
    </w:p>
    <w:p w:rsidR="0024756F" w:rsidRPr="00C9282E" w:rsidRDefault="0024756F" w:rsidP="0024756F">
      <w:pPr>
        <w:jc w:val="both"/>
        <w:rPr>
          <w:rFonts w:ascii="Verdana" w:eastAsia="MS Mincho" w:hAnsi="Verdana" w:cs="AdvTimRomLiebert"/>
          <w:sz w:val="20"/>
          <w:szCs w:val="20"/>
          <w:lang w:val="en-GB" w:eastAsia="ja-JP"/>
        </w:rPr>
      </w:pPr>
    </w:p>
    <w:p w:rsidR="0024756F" w:rsidRPr="00C9282E" w:rsidRDefault="0024756F" w:rsidP="0024756F">
      <w:pPr>
        <w:numPr>
          <w:ilvl w:val="0"/>
          <w:numId w:val="10"/>
        </w:numPr>
        <w:tabs>
          <w:tab w:val="left" w:pos="993"/>
          <w:tab w:val="left" w:pos="1843"/>
          <w:tab w:val="left" w:pos="2127"/>
        </w:tabs>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 xml:space="preserve">Thy 1 </w:t>
      </w:r>
      <w:r w:rsidRPr="00C9282E">
        <w:rPr>
          <w:rFonts w:ascii="Verdana" w:eastAsia="MS Mincho" w:hAnsi="Verdana" w:cs="AdvTimRomLiebert"/>
          <w:sz w:val="20"/>
          <w:szCs w:val="20"/>
          <w:lang w:val="en-GB" w:eastAsia="ja-JP"/>
        </w:rPr>
        <w:tab/>
        <w:t xml:space="preserve">- </w:t>
      </w:r>
      <w:r w:rsidRPr="00C9282E">
        <w:rPr>
          <w:rFonts w:ascii="Verdana" w:eastAsia="MS Mincho" w:hAnsi="Verdana" w:cs="AdvTimRomLiebert"/>
          <w:sz w:val="20"/>
          <w:szCs w:val="20"/>
          <w:lang w:val="en-GB" w:eastAsia="ja-JP"/>
        </w:rPr>
        <w:tab/>
        <w:t>technically unsatisfactory specimen</w:t>
      </w:r>
    </w:p>
    <w:p w:rsidR="0024756F" w:rsidRPr="00C9282E" w:rsidRDefault="0024756F" w:rsidP="0024756F">
      <w:pPr>
        <w:numPr>
          <w:ilvl w:val="0"/>
          <w:numId w:val="10"/>
        </w:numPr>
        <w:tabs>
          <w:tab w:val="left" w:pos="993"/>
          <w:tab w:val="left" w:pos="1843"/>
          <w:tab w:val="left" w:pos="2127"/>
        </w:tabs>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Thy 1c</w:t>
      </w:r>
      <w:r w:rsidRPr="00C9282E">
        <w:rPr>
          <w:rFonts w:ascii="Verdana" w:eastAsia="MS Mincho" w:hAnsi="Verdana" w:cs="AdvTimRomLiebert"/>
          <w:sz w:val="20"/>
          <w:szCs w:val="20"/>
          <w:lang w:val="en-GB" w:eastAsia="ja-JP"/>
        </w:rPr>
        <w:tab/>
        <w:t>-</w:t>
      </w:r>
      <w:r w:rsidRPr="00C9282E">
        <w:rPr>
          <w:rFonts w:ascii="Verdana" w:eastAsia="MS Mincho" w:hAnsi="Verdana" w:cs="AdvTimRomLiebert"/>
          <w:sz w:val="20"/>
          <w:szCs w:val="20"/>
          <w:lang w:val="en-GB" w:eastAsia="ja-JP"/>
        </w:rPr>
        <w:tab/>
        <w:t xml:space="preserve">cyst fluid with insufficient colloid and epithelial cells </w:t>
      </w:r>
    </w:p>
    <w:p w:rsidR="0024756F" w:rsidRPr="00C9282E" w:rsidRDefault="0024756F" w:rsidP="0024756F">
      <w:pPr>
        <w:numPr>
          <w:ilvl w:val="0"/>
          <w:numId w:val="10"/>
        </w:numPr>
        <w:tabs>
          <w:tab w:val="left" w:pos="993"/>
          <w:tab w:val="left" w:pos="1843"/>
          <w:tab w:val="left" w:pos="2127"/>
        </w:tabs>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 xml:space="preserve">Thy 2 </w:t>
      </w:r>
      <w:r w:rsidRPr="00C9282E">
        <w:rPr>
          <w:rFonts w:ascii="Verdana" w:eastAsia="MS Mincho" w:hAnsi="Verdana" w:cs="AdvTimRomLiebert"/>
          <w:sz w:val="20"/>
          <w:szCs w:val="20"/>
          <w:lang w:val="en-GB" w:eastAsia="ja-JP"/>
        </w:rPr>
        <w:tab/>
        <w:t xml:space="preserve">- </w:t>
      </w:r>
      <w:r w:rsidRPr="00C9282E">
        <w:rPr>
          <w:rFonts w:ascii="Verdana" w:eastAsia="MS Mincho" w:hAnsi="Verdana" w:cs="AdvTimRomLiebert"/>
          <w:sz w:val="20"/>
          <w:szCs w:val="20"/>
          <w:lang w:val="en-GB" w:eastAsia="ja-JP"/>
        </w:rPr>
        <w:tab/>
        <w:t>non-neoplastic</w:t>
      </w:r>
    </w:p>
    <w:p w:rsidR="0024756F" w:rsidRPr="00C9282E" w:rsidRDefault="0024756F" w:rsidP="0024756F">
      <w:pPr>
        <w:numPr>
          <w:ilvl w:val="0"/>
          <w:numId w:val="10"/>
        </w:numPr>
        <w:tabs>
          <w:tab w:val="left" w:pos="993"/>
          <w:tab w:val="left" w:pos="1843"/>
          <w:tab w:val="left" w:pos="2127"/>
        </w:tabs>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Thy 2c</w:t>
      </w:r>
      <w:r w:rsidRPr="00C9282E">
        <w:rPr>
          <w:rFonts w:ascii="Verdana" w:eastAsia="MS Mincho" w:hAnsi="Verdana" w:cs="AdvTimRomLiebert"/>
          <w:sz w:val="20"/>
          <w:szCs w:val="20"/>
          <w:lang w:val="en-GB" w:eastAsia="ja-JP"/>
        </w:rPr>
        <w:tab/>
        <w:t>-</w:t>
      </w:r>
      <w:r w:rsidRPr="00C9282E">
        <w:rPr>
          <w:rFonts w:ascii="Verdana" w:eastAsia="MS Mincho" w:hAnsi="Verdana" w:cs="AdvTimRomLiebert"/>
          <w:sz w:val="20"/>
          <w:szCs w:val="20"/>
          <w:lang w:val="en-GB" w:eastAsia="ja-JP"/>
        </w:rPr>
        <w:tab/>
        <w:t xml:space="preserve">cyst fluid with adequate colloid </w:t>
      </w:r>
    </w:p>
    <w:p w:rsidR="0024756F" w:rsidRPr="00C9282E" w:rsidRDefault="0024756F" w:rsidP="0024756F">
      <w:pPr>
        <w:numPr>
          <w:ilvl w:val="0"/>
          <w:numId w:val="10"/>
        </w:numPr>
        <w:tabs>
          <w:tab w:val="left" w:pos="993"/>
          <w:tab w:val="left" w:pos="1843"/>
          <w:tab w:val="left" w:pos="2127"/>
        </w:tabs>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 xml:space="preserve">Thy 3a </w:t>
      </w:r>
      <w:r w:rsidRPr="00C9282E">
        <w:rPr>
          <w:rFonts w:ascii="Verdana" w:eastAsia="MS Mincho" w:hAnsi="Verdana" w:cs="AdvTimRomLiebert"/>
          <w:sz w:val="20"/>
          <w:szCs w:val="20"/>
          <w:lang w:val="en-GB" w:eastAsia="ja-JP"/>
        </w:rPr>
        <w:tab/>
        <w:t>-</w:t>
      </w:r>
      <w:r w:rsidRPr="00C9282E">
        <w:rPr>
          <w:rFonts w:ascii="Verdana" w:eastAsia="MS Mincho" w:hAnsi="Verdana" w:cs="AdvTimRomLiebert"/>
          <w:sz w:val="20"/>
          <w:szCs w:val="20"/>
          <w:lang w:val="en-GB" w:eastAsia="ja-JP"/>
        </w:rPr>
        <w:tab/>
        <w:t>atypical features, but insufficient to place in a higher category</w:t>
      </w:r>
    </w:p>
    <w:p w:rsidR="0024756F" w:rsidRPr="00C9282E" w:rsidRDefault="0024756F" w:rsidP="0024756F">
      <w:pPr>
        <w:numPr>
          <w:ilvl w:val="0"/>
          <w:numId w:val="10"/>
        </w:numPr>
        <w:tabs>
          <w:tab w:val="left" w:pos="993"/>
          <w:tab w:val="left" w:pos="1843"/>
          <w:tab w:val="left" w:pos="2127"/>
        </w:tabs>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Thy 3f</w:t>
      </w:r>
      <w:r w:rsidRPr="00C9282E">
        <w:rPr>
          <w:rFonts w:ascii="Verdana" w:eastAsia="MS Mincho" w:hAnsi="Verdana" w:cs="AdvTimRomLiebert"/>
          <w:sz w:val="20"/>
          <w:szCs w:val="20"/>
          <w:lang w:val="en-GB" w:eastAsia="ja-JP"/>
        </w:rPr>
        <w:tab/>
        <w:t>-</w:t>
      </w:r>
      <w:r w:rsidRPr="00C9282E">
        <w:rPr>
          <w:rFonts w:ascii="Verdana" w:eastAsia="MS Mincho" w:hAnsi="Verdana" w:cs="AdvTimRomLiebert"/>
          <w:sz w:val="20"/>
          <w:szCs w:val="20"/>
          <w:lang w:val="en-GB" w:eastAsia="ja-JP"/>
        </w:rPr>
        <w:tab/>
        <w:t>follicular cytology</w:t>
      </w:r>
    </w:p>
    <w:p w:rsidR="0024756F" w:rsidRPr="00C9282E" w:rsidRDefault="0024756F" w:rsidP="0024756F">
      <w:pPr>
        <w:numPr>
          <w:ilvl w:val="0"/>
          <w:numId w:val="10"/>
        </w:numPr>
        <w:tabs>
          <w:tab w:val="left" w:pos="993"/>
          <w:tab w:val="left" w:pos="1843"/>
          <w:tab w:val="left" w:pos="2127"/>
        </w:tabs>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Thy 4</w:t>
      </w:r>
      <w:r w:rsidRPr="00C9282E">
        <w:rPr>
          <w:rFonts w:ascii="Verdana" w:eastAsia="MS Mincho" w:hAnsi="Verdana" w:cs="AdvTimRomLiebert"/>
          <w:sz w:val="20"/>
          <w:szCs w:val="20"/>
          <w:lang w:val="en-GB" w:eastAsia="ja-JP"/>
        </w:rPr>
        <w:tab/>
        <w:t>-</w:t>
      </w:r>
      <w:r w:rsidRPr="00C9282E">
        <w:rPr>
          <w:rFonts w:ascii="Verdana" w:eastAsia="MS Mincho" w:hAnsi="Verdana" w:cs="AdvTimRomLiebert"/>
          <w:sz w:val="20"/>
          <w:szCs w:val="20"/>
          <w:lang w:val="en-GB" w:eastAsia="ja-JP"/>
        </w:rPr>
        <w:tab/>
        <w:t>suspicious for malignancy</w:t>
      </w:r>
    </w:p>
    <w:p w:rsidR="0024756F" w:rsidRPr="00C9282E" w:rsidRDefault="0024756F" w:rsidP="0024756F">
      <w:pPr>
        <w:numPr>
          <w:ilvl w:val="0"/>
          <w:numId w:val="10"/>
        </w:numPr>
        <w:tabs>
          <w:tab w:val="left" w:pos="993"/>
          <w:tab w:val="left" w:pos="1843"/>
          <w:tab w:val="left" w:pos="2127"/>
        </w:tabs>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Thy 5</w:t>
      </w:r>
      <w:r w:rsidRPr="00C9282E">
        <w:rPr>
          <w:rFonts w:ascii="Verdana" w:eastAsia="MS Mincho" w:hAnsi="Verdana" w:cs="AdvTimRomLiebert"/>
          <w:sz w:val="20"/>
          <w:szCs w:val="20"/>
          <w:lang w:val="en-GB" w:eastAsia="ja-JP"/>
        </w:rPr>
        <w:tab/>
        <w:t>-</w:t>
      </w:r>
      <w:r w:rsidRPr="00C9282E">
        <w:rPr>
          <w:rFonts w:ascii="Verdana" w:eastAsia="MS Mincho" w:hAnsi="Verdana" w:cs="AdvTimRomLiebert"/>
          <w:sz w:val="20"/>
          <w:szCs w:val="20"/>
          <w:lang w:val="en-GB" w:eastAsia="ja-JP"/>
        </w:rPr>
        <w:tab/>
        <w:t>diagnostic of malignancy</w:t>
      </w:r>
    </w:p>
    <w:p w:rsidR="0024756F" w:rsidRPr="00C9282E" w:rsidRDefault="0024756F" w:rsidP="0024756F">
      <w:pPr>
        <w:tabs>
          <w:tab w:val="left" w:pos="993"/>
          <w:tab w:val="left" w:pos="1843"/>
          <w:tab w:val="left" w:pos="2127"/>
        </w:tabs>
        <w:jc w:val="both"/>
        <w:rPr>
          <w:rFonts w:ascii="Verdana" w:eastAsia="MS Mincho" w:hAnsi="Verdana" w:cs="AdvTimRomLiebert"/>
          <w:sz w:val="20"/>
          <w:szCs w:val="20"/>
          <w:lang w:val="en-GB" w:eastAsia="ja-JP"/>
        </w:rPr>
      </w:pPr>
    </w:p>
    <w:p w:rsidR="0024756F" w:rsidRPr="00C9282E" w:rsidRDefault="0024756F" w:rsidP="0024756F">
      <w:pPr>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The BTA guidelines suggest that individuals with U2 nodules may be discharged with no further follow-up. Current practice in the TNC is to arrange a 12 month surveillance USS, though that depends on the individual patient; in the neck lump clinic, patients with U2 nodules may be discharged. Some patients will prefer surgery to USS surveillance and that is acceptable. The pros and cons of surgery v surveillance should be discussed in detail.</w:t>
      </w:r>
      <w:r w:rsidR="00952C8B" w:rsidRPr="00C9282E">
        <w:rPr>
          <w:rFonts w:ascii="Verdana" w:eastAsia="MS Mincho" w:hAnsi="Verdana" w:cs="AdvTimRomLiebert"/>
          <w:sz w:val="20"/>
          <w:szCs w:val="20"/>
          <w:lang w:val="en-GB" w:eastAsia="ja-JP"/>
        </w:rPr>
        <w:t xml:space="preserve"> Patients who are discharged should be advised to have an annual check of TFT’s and to seek medical advice if they notice any change in the size of the nodule(s).</w:t>
      </w:r>
    </w:p>
    <w:p w:rsidR="0024756F" w:rsidRPr="00C9282E" w:rsidRDefault="0024756F" w:rsidP="0024756F">
      <w:pPr>
        <w:jc w:val="both"/>
        <w:rPr>
          <w:rFonts w:ascii="Verdana" w:eastAsia="MS Mincho" w:hAnsi="Verdana" w:cs="AdvTimRomLiebert"/>
          <w:sz w:val="20"/>
          <w:szCs w:val="20"/>
          <w:lang w:val="en-GB" w:eastAsia="ja-JP"/>
        </w:rPr>
      </w:pPr>
    </w:p>
    <w:p w:rsidR="0024756F" w:rsidRPr="00C9282E" w:rsidRDefault="0024756F" w:rsidP="0024756F">
      <w:pPr>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 xml:space="preserve">Nodules which are U3 should generally be FNA’d. If the cytology is Thy2, then surveillance may be appropriate depending on the individual’s wishes. Thy 1 or Thy3a cytology would generally mandate a repeat FNA or surgery. Thy 3f - Thy5 cytology would indicate surgery in most instances. </w:t>
      </w:r>
    </w:p>
    <w:p w:rsidR="0024756F" w:rsidRPr="00C9282E" w:rsidRDefault="0024756F" w:rsidP="0024756F">
      <w:pPr>
        <w:jc w:val="both"/>
        <w:rPr>
          <w:rFonts w:ascii="Verdana" w:eastAsia="MS Mincho" w:hAnsi="Verdana" w:cs="AdvTimRomLiebert"/>
          <w:sz w:val="20"/>
          <w:szCs w:val="20"/>
          <w:lang w:val="en-GB" w:eastAsia="ja-JP"/>
        </w:rPr>
      </w:pPr>
    </w:p>
    <w:p w:rsidR="0024756F" w:rsidRDefault="0024756F" w:rsidP="0024756F">
      <w:pPr>
        <w:jc w:val="both"/>
        <w:rPr>
          <w:rFonts w:ascii="Verdana" w:eastAsia="MS Mincho" w:hAnsi="Verdana" w:cs="AdvTimRomLiebert"/>
          <w:sz w:val="20"/>
          <w:szCs w:val="20"/>
          <w:lang w:val="en-GB" w:eastAsia="ja-JP"/>
        </w:rPr>
      </w:pPr>
      <w:r w:rsidRPr="00C9282E">
        <w:rPr>
          <w:rFonts w:ascii="Verdana" w:eastAsia="MS Mincho" w:hAnsi="Verdana" w:cs="AdvTimRomLiebert"/>
          <w:sz w:val="20"/>
          <w:szCs w:val="20"/>
          <w:lang w:val="en-GB" w:eastAsia="ja-JP"/>
        </w:rPr>
        <w:t>U4 and U5 nodules will require surgery in most instances; FNA is important to plan the optimum surgical approach.</w:t>
      </w:r>
    </w:p>
    <w:p w:rsidR="00C9282E" w:rsidRPr="00C9282E" w:rsidRDefault="00C9282E" w:rsidP="0024756F">
      <w:pPr>
        <w:jc w:val="both"/>
        <w:rPr>
          <w:rFonts w:ascii="Verdana" w:eastAsia="MS Mincho" w:hAnsi="Verdana" w:cs="AdvTimRomLiebert"/>
          <w:sz w:val="20"/>
          <w:szCs w:val="20"/>
          <w:lang w:val="en-GB" w:eastAsia="ja-JP"/>
        </w:rPr>
      </w:pPr>
    </w:p>
    <w:p w:rsidR="0024756F" w:rsidRDefault="0024756F" w:rsidP="0024756F">
      <w:pPr>
        <w:jc w:val="both"/>
        <w:rPr>
          <w:rFonts w:ascii="Verdana" w:eastAsia="MS Mincho" w:hAnsi="Verdana" w:cs="AdvTimRomLiebert"/>
          <w:sz w:val="20"/>
          <w:szCs w:val="20"/>
          <w:lang w:val="en-GB" w:eastAsia="ja-JP"/>
        </w:rPr>
      </w:pPr>
    </w:p>
    <w:p w:rsidR="0024756F" w:rsidRPr="009F0567" w:rsidRDefault="0024756F" w:rsidP="0024756F">
      <w:pPr>
        <w:jc w:val="both"/>
        <w:rPr>
          <w:rFonts w:ascii="Verdana" w:eastAsia="MS Mincho" w:hAnsi="Verdana" w:cs="AdvTimRomLiebert"/>
          <w:b/>
          <w:sz w:val="20"/>
          <w:szCs w:val="20"/>
          <w:lang w:val="en-GB" w:eastAsia="ja-JP"/>
        </w:rPr>
      </w:pPr>
      <w:r w:rsidRPr="009F0567">
        <w:rPr>
          <w:rFonts w:ascii="Verdana" w:eastAsia="MS Mincho" w:hAnsi="Verdana" w:cs="AdvTimRomLiebert"/>
          <w:b/>
          <w:sz w:val="20"/>
          <w:szCs w:val="20"/>
          <w:lang w:val="en-GB" w:eastAsia="ja-JP"/>
        </w:rPr>
        <w:t>Other investigations</w:t>
      </w:r>
    </w:p>
    <w:p w:rsidR="0024756F" w:rsidRDefault="0024756F" w:rsidP="0024756F">
      <w:pPr>
        <w:numPr>
          <w:ilvl w:val="0"/>
          <w:numId w:val="11"/>
        </w:numPr>
        <w:jc w:val="both"/>
        <w:rPr>
          <w:rFonts w:ascii="Verdana" w:eastAsia="MS Mincho" w:hAnsi="Verdana" w:cs="AdvTimRomLiebert"/>
          <w:sz w:val="20"/>
          <w:szCs w:val="20"/>
          <w:lang w:val="en-GB" w:eastAsia="ja-JP"/>
        </w:rPr>
      </w:pPr>
      <w:r>
        <w:rPr>
          <w:rFonts w:ascii="Verdana" w:eastAsia="MS Mincho" w:hAnsi="Verdana" w:cs="AdvTimRomLiebert"/>
          <w:sz w:val="20"/>
          <w:szCs w:val="20"/>
          <w:lang w:val="en-GB" w:eastAsia="ja-JP"/>
        </w:rPr>
        <w:lastRenderedPageBreak/>
        <w:t xml:space="preserve">Thyroid scintigraphy is recommended when a functional nodule is suspected. </w:t>
      </w:r>
    </w:p>
    <w:p w:rsidR="0024756F" w:rsidRDefault="0024756F" w:rsidP="0024756F">
      <w:pPr>
        <w:numPr>
          <w:ilvl w:val="0"/>
          <w:numId w:val="11"/>
        </w:numPr>
        <w:jc w:val="both"/>
        <w:rPr>
          <w:rFonts w:ascii="Verdana" w:eastAsia="MS Mincho" w:hAnsi="Verdana" w:cs="AdvTimRomLiebert"/>
          <w:sz w:val="20"/>
          <w:szCs w:val="20"/>
          <w:lang w:val="en-GB" w:eastAsia="ja-JP"/>
        </w:rPr>
      </w:pPr>
      <w:r>
        <w:rPr>
          <w:rFonts w:ascii="Verdana" w:eastAsia="MS Mincho" w:hAnsi="Verdana" w:cs="AdvTimRomLiebert"/>
          <w:sz w:val="20"/>
          <w:szCs w:val="20"/>
          <w:lang w:val="en-GB" w:eastAsia="ja-JP"/>
        </w:rPr>
        <w:t>CT is indicated if there is concern about retrosternal extension of a goitre or to accurately stage a confirmed cancer (for papillary and thyroid cancers this is not required as a matter of routine in the absence of neck lymphadenopathy on USS or symptoms suggestive of distant metastatic disease)</w:t>
      </w:r>
    </w:p>
    <w:p w:rsidR="0024756F" w:rsidRDefault="0024756F" w:rsidP="0024756F">
      <w:pPr>
        <w:numPr>
          <w:ilvl w:val="0"/>
          <w:numId w:val="11"/>
        </w:numPr>
        <w:jc w:val="both"/>
        <w:rPr>
          <w:rFonts w:ascii="Verdana" w:eastAsia="MS Mincho" w:hAnsi="Verdana" w:cs="AdvTimRomLiebert"/>
          <w:sz w:val="20"/>
          <w:szCs w:val="20"/>
          <w:lang w:val="en-GB" w:eastAsia="ja-JP"/>
        </w:rPr>
      </w:pPr>
      <w:r>
        <w:rPr>
          <w:rFonts w:ascii="Verdana" w:eastAsia="MS Mincho" w:hAnsi="Verdana" w:cs="AdvTimRomLiebert"/>
          <w:sz w:val="20"/>
          <w:szCs w:val="20"/>
          <w:lang w:val="en-GB" w:eastAsia="ja-JP"/>
        </w:rPr>
        <w:t>Pulmonary function tests – a flow volume loop may be used in some instances to diagnose tracheal compression and may also rarely be used as a surveillance tool for people with a known retrosternal goitre. Its utility has largely been superseded by CT.</w:t>
      </w:r>
    </w:p>
    <w:p w:rsidR="0024756F" w:rsidRDefault="0024756F" w:rsidP="0024756F">
      <w:pPr>
        <w:numPr>
          <w:ilvl w:val="0"/>
          <w:numId w:val="11"/>
        </w:numPr>
        <w:jc w:val="both"/>
        <w:rPr>
          <w:rFonts w:ascii="Verdana" w:eastAsia="MS Mincho" w:hAnsi="Verdana" w:cs="AdvTimRomLiebert"/>
          <w:sz w:val="20"/>
          <w:szCs w:val="20"/>
          <w:lang w:val="en-GB" w:eastAsia="ja-JP"/>
        </w:rPr>
      </w:pPr>
      <w:r>
        <w:rPr>
          <w:rFonts w:ascii="Verdana" w:eastAsia="MS Mincho" w:hAnsi="Verdana" w:cs="AdvTimRomLiebert"/>
          <w:sz w:val="20"/>
          <w:szCs w:val="20"/>
          <w:lang w:val="en-GB" w:eastAsia="ja-JP"/>
        </w:rPr>
        <w:t>Barium swallow may occasionally be required if an individual with a retrosternal goitre has dysphagia, to help clarify the extent of external compression of the oesophagus.</w:t>
      </w:r>
    </w:p>
    <w:p w:rsidR="0024756F" w:rsidRDefault="0024756F" w:rsidP="0024756F">
      <w:pPr>
        <w:jc w:val="both"/>
        <w:rPr>
          <w:rFonts w:ascii="Verdana" w:eastAsia="MS Mincho" w:hAnsi="Verdana" w:cs="AdvTimRomLiebert"/>
          <w:sz w:val="20"/>
          <w:szCs w:val="20"/>
          <w:lang w:val="en-GB" w:eastAsia="ja-JP"/>
        </w:rPr>
      </w:pPr>
    </w:p>
    <w:p w:rsidR="0024756F" w:rsidRPr="009F0567" w:rsidRDefault="0024756F" w:rsidP="0024756F">
      <w:pPr>
        <w:jc w:val="both"/>
        <w:rPr>
          <w:rFonts w:ascii="Verdana" w:eastAsia="MS Mincho" w:hAnsi="Verdana" w:cs="AdvTimRomLiebert"/>
          <w:b/>
          <w:sz w:val="20"/>
          <w:szCs w:val="20"/>
          <w:lang w:val="en-GB" w:eastAsia="ja-JP"/>
        </w:rPr>
      </w:pPr>
      <w:r w:rsidRPr="009F0567">
        <w:rPr>
          <w:rFonts w:ascii="Verdana" w:eastAsia="MS Mincho" w:hAnsi="Verdana" w:cs="AdvTimRomLiebert"/>
          <w:b/>
          <w:sz w:val="20"/>
          <w:szCs w:val="20"/>
          <w:lang w:val="en-GB" w:eastAsia="ja-JP"/>
        </w:rPr>
        <w:t>Nodules under radiological surveillance</w:t>
      </w:r>
    </w:p>
    <w:p w:rsidR="0024756F" w:rsidRDefault="0024756F" w:rsidP="0024756F">
      <w:pPr>
        <w:jc w:val="both"/>
        <w:rPr>
          <w:rFonts w:ascii="Verdana" w:eastAsia="MS Mincho" w:hAnsi="Verdana" w:cs="AdvTimRomLiebert"/>
          <w:sz w:val="20"/>
          <w:szCs w:val="20"/>
          <w:lang w:val="en-GB" w:eastAsia="ja-JP"/>
        </w:rPr>
      </w:pPr>
      <w:r>
        <w:rPr>
          <w:rFonts w:ascii="Verdana" w:eastAsia="MS Mincho" w:hAnsi="Verdana" w:cs="AdvTimRomLiebert"/>
          <w:sz w:val="20"/>
          <w:szCs w:val="20"/>
          <w:lang w:val="en-GB" w:eastAsia="ja-JP"/>
        </w:rPr>
        <w:t xml:space="preserve">Growth of nodules across interval scans is not in itself an indicator of malignancy, as clearly both benign and malignant nodules can grow. However, re-evaluation of a growing nodule by FNA (or repeat FNA) should be considered and the diagnostic uncertainty discussed with the patient. </w:t>
      </w:r>
    </w:p>
    <w:p w:rsidR="0024756F" w:rsidRDefault="0024756F" w:rsidP="0024756F">
      <w:pPr>
        <w:jc w:val="both"/>
        <w:rPr>
          <w:rFonts w:ascii="Verdana" w:eastAsia="MS Mincho" w:hAnsi="Verdana" w:cs="AdvTimRomLiebert"/>
          <w:sz w:val="20"/>
          <w:szCs w:val="20"/>
          <w:lang w:val="en-GB" w:eastAsia="ja-JP"/>
        </w:rPr>
      </w:pPr>
    </w:p>
    <w:p w:rsidR="0024756F" w:rsidRDefault="0024756F" w:rsidP="0024756F">
      <w:pPr>
        <w:jc w:val="both"/>
        <w:rPr>
          <w:rFonts w:ascii="Verdana" w:eastAsia="MS Mincho" w:hAnsi="Verdana" w:cs="AdvTimRomLiebert"/>
          <w:sz w:val="20"/>
          <w:szCs w:val="20"/>
          <w:lang w:val="en-GB" w:eastAsia="ja-JP"/>
        </w:rPr>
      </w:pPr>
      <w:r>
        <w:rPr>
          <w:rFonts w:ascii="Verdana" w:eastAsia="MS Mincho" w:hAnsi="Verdana" w:cs="AdvTimRomLiebert"/>
          <w:sz w:val="20"/>
          <w:szCs w:val="20"/>
          <w:lang w:val="en-GB" w:eastAsia="ja-JP"/>
        </w:rPr>
        <w:t>The decision on when to stop USS surveillance in an individual with a static nodule (or rarely one reducing in size) must be individualised, taking into account multiple factors such as the USS characteristics, FNA findings (where performed), age, co-morbidities and risk factors.</w:t>
      </w:r>
    </w:p>
    <w:p w:rsidR="00E46318" w:rsidRDefault="00E46318" w:rsidP="00DB3935">
      <w:pPr>
        <w:jc w:val="both"/>
        <w:rPr>
          <w:rFonts w:ascii="Verdana" w:eastAsia="MS Mincho" w:hAnsi="Verdana" w:cs="AdvTimRomLiebert"/>
          <w:sz w:val="20"/>
          <w:szCs w:val="20"/>
          <w:lang w:val="en-GB" w:eastAsia="ja-JP"/>
        </w:rPr>
      </w:pPr>
    </w:p>
    <w:p w:rsidR="00E46318" w:rsidRPr="00E46318" w:rsidRDefault="00E46318" w:rsidP="00DB3935">
      <w:pPr>
        <w:jc w:val="both"/>
        <w:rPr>
          <w:rFonts w:ascii="Verdana" w:eastAsia="MS Mincho" w:hAnsi="Verdana" w:cs="AdvTimRomLiebert"/>
          <w:b/>
          <w:sz w:val="20"/>
          <w:szCs w:val="20"/>
          <w:lang w:val="en-GB" w:eastAsia="ja-JP"/>
        </w:rPr>
      </w:pPr>
      <w:r w:rsidRPr="00E46318">
        <w:rPr>
          <w:rFonts w:ascii="Verdana" w:eastAsia="MS Mincho" w:hAnsi="Verdana" w:cs="AdvTimRomLiebert"/>
          <w:b/>
          <w:sz w:val="20"/>
          <w:szCs w:val="20"/>
          <w:lang w:val="en-GB" w:eastAsia="ja-JP"/>
        </w:rPr>
        <w:t>MDT Referral</w:t>
      </w:r>
    </w:p>
    <w:p w:rsidR="00DB3935" w:rsidRDefault="00EC1A71" w:rsidP="00DB3935">
      <w:pPr>
        <w:jc w:val="both"/>
        <w:rPr>
          <w:rFonts w:ascii="Verdana" w:hAnsi="Verdana"/>
          <w:sz w:val="20"/>
          <w:szCs w:val="20"/>
        </w:rPr>
      </w:pPr>
      <w:r>
        <w:rPr>
          <w:rFonts w:ascii="Verdana" w:eastAsia="MS Mincho" w:hAnsi="Verdana" w:cs="AdvTimRomLiebert"/>
          <w:sz w:val="20"/>
          <w:szCs w:val="20"/>
          <w:lang w:val="en-GB" w:eastAsia="ja-JP"/>
        </w:rPr>
        <w:t xml:space="preserve">The thyroid/endocrine MDT meets monthly at the RIE </w:t>
      </w:r>
      <w:r w:rsidRPr="00DB3935">
        <w:rPr>
          <w:rFonts w:ascii="Verdana" w:hAnsi="Verdana"/>
          <w:sz w:val="20"/>
          <w:szCs w:val="20"/>
        </w:rPr>
        <w:t xml:space="preserve">(generally </w:t>
      </w:r>
      <w:r w:rsidR="00F32BA1">
        <w:rPr>
          <w:rFonts w:ascii="Verdana" w:hAnsi="Verdana"/>
          <w:sz w:val="20"/>
          <w:szCs w:val="20"/>
        </w:rPr>
        <w:t>4</w:t>
      </w:r>
      <w:r w:rsidR="005C0517" w:rsidRPr="005C0517">
        <w:rPr>
          <w:rFonts w:ascii="Verdana" w:hAnsi="Verdana"/>
          <w:sz w:val="20"/>
          <w:szCs w:val="20"/>
          <w:vertAlign w:val="superscript"/>
        </w:rPr>
        <w:t>th</w:t>
      </w:r>
      <w:r w:rsidR="00F32BA1">
        <w:rPr>
          <w:rFonts w:ascii="Verdana" w:hAnsi="Verdana"/>
          <w:sz w:val="20"/>
          <w:szCs w:val="20"/>
        </w:rPr>
        <w:t xml:space="preserve"> </w:t>
      </w:r>
      <w:r w:rsidRPr="00DB3935">
        <w:rPr>
          <w:rFonts w:ascii="Verdana" w:hAnsi="Verdana"/>
          <w:sz w:val="20"/>
          <w:szCs w:val="20"/>
        </w:rPr>
        <w:t xml:space="preserve">Monday of the month).  </w:t>
      </w:r>
      <w:r>
        <w:rPr>
          <w:rFonts w:ascii="Verdana" w:hAnsi="Verdana"/>
          <w:sz w:val="20"/>
          <w:szCs w:val="20"/>
        </w:rPr>
        <w:t>VC facilities are available. All referrals require completion of the MDT proforma</w:t>
      </w:r>
      <w:r w:rsidR="00952C8B">
        <w:rPr>
          <w:rFonts w:ascii="Verdana" w:hAnsi="Verdana"/>
          <w:sz w:val="20"/>
          <w:szCs w:val="20"/>
        </w:rPr>
        <w:t xml:space="preserve"> (available on the ECED website)</w:t>
      </w:r>
      <w:r>
        <w:rPr>
          <w:rFonts w:ascii="Verdana" w:hAnsi="Verdana"/>
          <w:sz w:val="20"/>
          <w:szCs w:val="20"/>
        </w:rPr>
        <w:t xml:space="preserve"> and it is essential to highlight whether pathological and/or radiological review are required. All patients with confirmed thyroid cancer must be referred to the MDT. Patients with thyroid nodule without confirmed malignancy, but where there is diagnostic uncertainty or management uncertainty may also be referred for discussion.</w:t>
      </w:r>
    </w:p>
    <w:p w:rsidR="009D210E" w:rsidRDefault="009D210E" w:rsidP="00DB3935">
      <w:pPr>
        <w:jc w:val="both"/>
        <w:rPr>
          <w:rFonts w:ascii="Verdana" w:hAnsi="Verdana"/>
          <w:sz w:val="20"/>
          <w:szCs w:val="20"/>
        </w:rPr>
      </w:pPr>
    </w:p>
    <w:p w:rsidR="009D210E" w:rsidRPr="00DB3935" w:rsidRDefault="009D210E" w:rsidP="00DB3935">
      <w:pPr>
        <w:jc w:val="both"/>
        <w:rPr>
          <w:rFonts w:ascii="Verdana" w:hAnsi="Verdana"/>
          <w:color w:val="FF0000"/>
          <w:sz w:val="20"/>
          <w:szCs w:val="20"/>
        </w:rPr>
      </w:pPr>
      <w:r>
        <w:rPr>
          <w:rFonts w:ascii="Verdana" w:hAnsi="Verdana"/>
          <w:sz w:val="20"/>
          <w:szCs w:val="20"/>
        </w:rPr>
        <w:t xml:space="preserve">There is currently no specific cancer nurse specialist support for patients with thyroid cancer. Support is given in the aftermath of surgery to patients undergoing surgery in ENT by the head and neck cancer nurse specialists. </w:t>
      </w:r>
      <w:r w:rsidR="00946D29">
        <w:rPr>
          <w:rFonts w:ascii="Verdana" w:hAnsi="Verdana"/>
          <w:sz w:val="20"/>
          <w:szCs w:val="20"/>
        </w:rPr>
        <w:t>Patients under the age of 23 should be referred to Fiona Dawson, CNS for Young Adults with Cancer.</w:t>
      </w:r>
    </w:p>
    <w:p w:rsidR="00BE1FED" w:rsidRPr="00E86980" w:rsidRDefault="00BE1FED" w:rsidP="0038337B">
      <w:pPr>
        <w:rPr>
          <w:rFonts w:ascii="Verdana" w:hAnsi="Verdana"/>
          <w:sz w:val="20"/>
          <w:szCs w:val="20"/>
        </w:rPr>
      </w:pPr>
    </w:p>
    <w:p w:rsidR="00D80C86" w:rsidRPr="00E86980" w:rsidRDefault="00D80C86" w:rsidP="00D80C86">
      <w:pPr>
        <w:rPr>
          <w:rFonts w:ascii="Verdana" w:hAnsi="Verdana"/>
          <w:sz w:val="20"/>
          <w:szCs w:val="20"/>
        </w:rPr>
      </w:pPr>
    </w:p>
    <w:p w:rsidR="00C9282E" w:rsidRDefault="00C9282E">
      <w:pPr>
        <w:rPr>
          <w:rFonts w:ascii="Verdana" w:hAnsi="Verdana"/>
          <w:b/>
          <w:sz w:val="20"/>
          <w:szCs w:val="20"/>
        </w:rPr>
      </w:pPr>
      <w:r>
        <w:rPr>
          <w:rFonts w:ascii="Verdana" w:hAnsi="Verdana"/>
          <w:b/>
          <w:sz w:val="20"/>
          <w:szCs w:val="20"/>
        </w:rPr>
        <w:br w:type="page"/>
      </w:r>
    </w:p>
    <w:p w:rsidR="008650E5" w:rsidRPr="00AE7743" w:rsidRDefault="00AE7743" w:rsidP="00AE7743">
      <w:pPr>
        <w:rPr>
          <w:rFonts w:ascii="Verdana" w:hAnsi="Verdana"/>
          <w:sz w:val="20"/>
          <w:szCs w:val="20"/>
        </w:rPr>
      </w:pPr>
      <w:r w:rsidRPr="002C15A9">
        <w:rPr>
          <w:rFonts w:ascii="Verdana" w:hAnsi="Verdana"/>
          <w:b/>
          <w:sz w:val="20"/>
          <w:szCs w:val="20"/>
        </w:rPr>
        <w:lastRenderedPageBreak/>
        <w:t>3</w:t>
      </w:r>
      <w:r w:rsidR="002C15A9">
        <w:rPr>
          <w:rFonts w:ascii="Verdana" w:hAnsi="Verdana"/>
          <w:b/>
          <w:sz w:val="20"/>
          <w:szCs w:val="20"/>
        </w:rPr>
        <w:t xml:space="preserve">. </w:t>
      </w:r>
      <w:r w:rsidR="002C15A9" w:rsidRPr="002C15A9">
        <w:rPr>
          <w:rFonts w:ascii="Verdana" w:hAnsi="Verdana"/>
          <w:b/>
          <w:sz w:val="20"/>
          <w:szCs w:val="20"/>
        </w:rPr>
        <w:t xml:space="preserve"> </w:t>
      </w:r>
      <w:r w:rsidR="008D200C">
        <w:rPr>
          <w:rFonts w:ascii="Verdana" w:hAnsi="Verdana"/>
          <w:b/>
          <w:sz w:val="20"/>
          <w:szCs w:val="20"/>
        </w:rPr>
        <w:t xml:space="preserve">DIFFERENTIATED </w:t>
      </w:r>
      <w:r w:rsidR="008650E5" w:rsidRPr="00E86980">
        <w:rPr>
          <w:rFonts w:ascii="Verdana" w:hAnsi="Verdana"/>
          <w:b/>
          <w:sz w:val="20"/>
          <w:szCs w:val="20"/>
        </w:rPr>
        <w:t>THYROID CANCER</w:t>
      </w:r>
    </w:p>
    <w:p w:rsidR="008D200C" w:rsidRDefault="008D200C" w:rsidP="00D80C86">
      <w:pPr>
        <w:rPr>
          <w:rFonts w:ascii="Verdana" w:hAnsi="Verdana"/>
          <w:b/>
          <w:sz w:val="20"/>
        </w:rPr>
      </w:pPr>
    </w:p>
    <w:p w:rsidR="0016172F" w:rsidRDefault="00FF1131" w:rsidP="0016172F">
      <w:pPr>
        <w:rPr>
          <w:rFonts w:ascii="Verdana" w:hAnsi="Verdana"/>
          <w:sz w:val="20"/>
        </w:rPr>
      </w:pPr>
      <w:r w:rsidRPr="00463E6E">
        <w:rPr>
          <w:rFonts w:ascii="Verdana" w:hAnsi="Verdana"/>
          <w:b/>
          <w:sz w:val="20"/>
        </w:rPr>
        <w:t>Pathology</w:t>
      </w:r>
      <w:r>
        <w:rPr>
          <w:rFonts w:ascii="Verdana" w:hAnsi="Verdana"/>
          <w:sz w:val="20"/>
        </w:rPr>
        <w:t xml:space="preserve"> </w:t>
      </w:r>
    </w:p>
    <w:p w:rsidR="0016172F" w:rsidRDefault="0016172F" w:rsidP="0016172F">
      <w:pPr>
        <w:rPr>
          <w:rFonts w:ascii="Verdana" w:hAnsi="Verdana"/>
          <w:sz w:val="20"/>
          <w:szCs w:val="20"/>
        </w:rPr>
      </w:pPr>
      <w:r w:rsidRPr="0016172F">
        <w:rPr>
          <w:rFonts w:ascii="Verdana" w:hAnsi="Verdana"/>
          <w:sz w:val="20"/>
          <w:szCs w:val="20"/>
        </w:rPr>
        <w:t xml:space="preserve">Thyroid malignancies are divided into papillary carcinomas (80%), follicular carcinomas (10%), medullary thyroid carcinomas (5-10%), anaplastic carcinomas (1-2%), primary thyroid lymphomas (rare), and primary thyroid sarcomas (rare).   Hürthle cell carcinoma is a rare thyroid malignancy that is considered a variant of follicular carcinoma. Hürthle cell carcinomas account for 2-3% of all thyroid malignancies. </w:t>
      </w:r>
      <w:r w:rsidR="00345A23">
        <w:rPr>
          <w:rFonts w:ascii="Verdana" w:hAnsi="Verdana"/>
          <w:sz w:val="20"/>
          <w:szCs w:val="20"/>
        </w:rPr>
        <w:t>Other cancers may also rarely metastasise to the thyroid.</w:t>
      </w:r>
    </w:p>
    <w:p w:rsidR="00580B70" w:rsidRDefault="00580B70" w:rsidP="0016172F">
      <w:pPr>
        <w:rPr>
          <w:rFonts w:ascii="Verdana" w:hAnsi="Verdana"/>
          <w:sz w:val="20"/>
          <w:szCs w:val="20"/>
        </w:rPr>
      </w:pPr>
    </w:p>
    <w:p w:rsidR="00580B70" w:rsidRPr="00580B70" w:rsidRDefault="00580B70" w:rsidP="00580B70">
      <w:pPr>
        <w:widowControl w:val="0"/>
        <w:autoSpaceDE w:val="0"/>
        <w:autoSpaceDN w:val="0"/>
        <w:adjustRightInd w:val="0"/>
        <w:spacing w:after="240" w:line="260" w:lineRule="atLeast"/>
        <w:rPr>
          <w:rFonts w:ascii="Verdana" w:hAnsi="Verdana" w:cs="Times"/>
          <w:i/>
          <w:sz w:val="20"/>
          <w:szCs w:val="20"/>
        </w:rPr>
      </w:pPr>
      <w:r w:rsidRPr="00580B70">
        <w:rPr>
          <w:rFonts w:ascii="Verdana" w:hAnsi="Verdana" w:cs="Times"/>
          <w:i/>
          <w:sz w:val="20"/>
          <w:szCs w:val="20"/>
        </w:rPr>
        <w:t xml:space="preserve">Staging of primary tumour </w:t>
      </w:r>
    </w:p>
    <w:p w:rsidR="00580B70" w:rsidRPr="00580B70" w:rsidRDefault="00580B70" w:rsidP="002C15A9">
      <w:pPr>
        <w:widowControl w:val="0"/>
        <w:numPr>
          <w:ilvl w:val="0"/>
          <w:numId w:val="16"/>
        </w:numPr>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 xml:space="preserve">TX </w:t>
      </w:r>
      <w:r>
        <w:rPr>
          <w:rFonts w:ascii="Verdana" w:hAnsi="Verdana" w:cs="Times"/>
          <w:sz w:val="20"/>
          <w:szCs w:val="20"/>
        </w:rPr>
        <w:tab/>
      </w:r>
      <w:r w:rsidRPr="00580B70">
        <w:rPr>
          <w:rFonts w:ascii="Verdana" w:hAnsi="Verdana" w:cs="Times"/>
          <w:sz w:val="20"/>
          <w:szCs w:val="20"/>
        </w:rPr>
        <w:t>Primary tu</w:t>
      </w:r>
      <w:r w:rsidR="00EE1A45">
        <w:rPr>
          <w:rFonts w:ascii="Verdana" w:hAnsi="Verdana" w:cs="Times"/>
          <w:sz w:val="20"/>
          <w:szCs w:val="20"/>
        </w:rPr>
        <w:t>mour cannot be assessed</w:t>
      </w:r>
    </w:p>
    <w:p w:rsidR="00580B70" w:rsidRPr="00580B70" w:rsidRDefault="00580B70" w:rsidP="002C15A9">
      <w:pPr>
        <w:widowControl w:val="0"/>
        <w:numPr>
          <w:ilvl w:val="0"/>
          <w:numId w:val="12"/>
        </w:numPr>
        <w:tabs>
          <w:tab w:val="left" w:pos="284"/>
          <w:tab w:val="left" w:pos="720"/>
        </w:tabs>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T0  </w:t>
      </w:r>
      <w:r w:rsidR="00EE1A45">
        <w:rPr>
          <w:rFonts w:ascii="Verdana" w:hAnsi="Verdana" w:cs="Times"/>
          <w:sz w:val="20"/>
          <w:szCs w:val="20"/>
        </w:rPr>
        <w:tab/>
        <w:t xml:space="preserve">No evidence of primary tumour </w:t>
      </w:r>
    </w:p>
    <w:p w:rsidR="00580B70" w:rsidRPr="00580B70" w:rsidRDefault="00580B70" w:rsidP="002C15A9">
      <w:pPr>
        <w:widowControl w:val="0"/>
        <w:numPr>
          <w:ilvl w:val="0"/>
          <w:numId w:val="12"/>
        </w:numPr>
        <w:tabs>
          <w:tab w:val="left" w:pos="284"/>
          <w:tab w:val="left" w:pos="720"/>
        </w:tabs>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T1  </w:t>
      </w:r>
      <w:r w:rsidRPr="00580B70">
        <w:rPr>
          <w:rFonts w:ascii="Verdana" w:hAnsi="Verdana" w:cs="Times"/>
          <w:sz w:val="20"/>
          <w:szCs w:val="20"/>
        </w:rPr>
        <w:tab/>
        <w:t>Tumour ≤2 cm in greatest di</w:t>
      </w:r>
      <w:r w:rsidR="00EE1A45">
        <w:rPr>
          <w:rFonts w:ascii="Verdana" w:hAnsi="Verdana" w:cs="Times"/>
          <w:sz w:val="20"/>
          <w:szCs w:val="20"/>
        </w:rPr>
        <w:t xml:space="preserve">mension limited to the thyroid </w:t>
      </w:r>
    </w:p>
    <w:p w:rsidR="00580B70" w:rsidRPr="00580B70" w:rsidRDefault="00580B70" w:rsidP="002C15A9">
      <w:pPr>
        <w:widowControl w:val="0"/>
        <w:numPr>
          <w:ilvl w:val="0"/>
          <w:numId w:val="13"/>
        </w:numPr>
        <w:tabs>
          <w:tab w:val="left" w:pos="284"/>
          <w:tab w:val="left" w:pos="720"/>
        </w:tabs>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T1a  Tumour</w:t>
      </w:r>
      <w:r w:rsidR="00EE1A45">
        <w:rPr>
          <w:rFonts w:ascii="Verdana" w:hAnsi="Verdana" w:cs="Times"/>
          <w:sz w:val="20"/>
          <w:szCs w:val="20"/>
        </w:rPr>
        <w:t xml:space="preserve"> ≤1 cm, limited to the thyroid </w:t>
      </w:r>
    </w:p>
    <w:p w:rsidR="00580B70" w:rsidRPr="00580B70" w:rsidRDefault="00580B70" w:rsidP="002C15A9">
      <w:pPr>
        <w:widowControl w:val="0"/>
        <w:numPr>
          <w:ilvl w:val="0"/>
          <w:numId w:val="13"/>
        </w:numPr>
        <w:tabs>
          <w:tab w:val="left" w:pos="284"/>
          <w:tab w:val="left" w:pos="720"/>
        </w:tabs>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T1b  Tumour &gt;1 cm but ≤2 cm in greatest dime</w:t>
      </w:r>
      <w:r w:rsidR="00EE1A45">
        <w:rPr>
          <w:rFonts w:ascii="Verdana" w:hAnsi="Verdana" w:cs="Times"/>
          <w:sz w:val="20"/>
          <w:szCs w:val="20"/>
        </w:rPr>
        <w:t xml:space="preserve">nsion, limited to the thyroid </w:t>
      </w:r>
    </w:p>
    <w:p w:rsidR="00580B70" w:rsidRPr="00580B70" w:rsidRDefault="00580B70" w:rsidP="002C15A9">
      <w:pPr>
        <w:widowControl w:val="0"/>
        <w:numPr>
          <w:ilvl w:val="0"/>
          <w:numId w:val="14"/>
        </w:numPr>
        <w:tabs>
          <w:tab w:val="left" w:pos="284"/>
          <w:tab w:val="left" w:pos="720"/>
        </w:tabs>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T2  </w:t>
      </w:r>
      <w:r w:rsidRPr="00580B70">
        <w:rPr>
          <w:rFonts w:ascii="Verdana" w:hAnsi="Verdana" w:cs="Times"/>
          <w:sz w:val="20"/>
          <w:szCs w:val="20"/>
        </w:rPr>
        <w:tab/>
        <w:t xml:space="preserve">Tumour &gt;2 cm but ≤4 cm in </w:t>
      </w:r>
      <w:r w:rsidR="00EE1A45">
        <w:rPr>
          <w:rFonts w:ascii="Verdana" w:hAnsi="Verdana" w:cs="Times"/>
          <w:sz w:val="20"/>
          <w:szCs w:val="20"/>
        </w:rPr>
        <w:t xml:space="preserve">greatest dimension, limited to the thyroid </w:t>
      </w:r>
    </w:p>
    <w:p w:rsidR="00580B70" w:rsidRPr="00580B70" w:rsidRDefault="00580B70" w:rsidP="002C15A9">
      <w:pPr>
        <w:widowControl w:val="0"/>
        <w:numPr>
          <w:ilvl w:val="0"/>
          <w:numId w:val="14"/>
        </w:numPr>
        <w:tabs>
          <w:tab w:val="left" w:pos="284"/>
          <w:tab w:val="left" w:pos="720"/>
        </w:tabs>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T3  </w:t>
      </w:r>
      <w:r w:rsidRPr="00580B70">
        <w:rPr>
          <w:rFonts w:ascii="Verdana" w:hAnsi="Verdana" w:cs="Times"/>
          <w:sz w:val="20"/>
          <w:szCs w:val="20"/>
        </w:rPr>
        <w:tab/>
        <w:t>Tumour &gt;4 cm in greatest di</w:t>
      </w:r>
      <w:r w:rsidR="00EE1A45">
        <w:rPr>
          <w:rFonts w:ascii="Verdana" w:hAnsi="Verdana" w:cs="Times"/>
          <w:sz w:val="20"/>
          <w:szCs w:val="20"/>
        </w:rPr>
        <w:t xml:space="preserve">mension limited to the thyroid </w:t>
      </w:r>
      <w:r w:rsidRPr="00580B70">
        <w:rPr>
          <w:rFonts w:ascii="Verdana" w:hAnsi="Verdana" w:cs="Times"/>
          <w:sz w:val="20"/>
          <w:szCs w:val="20"/>
        </w:rPr>
        <w:t>or any tumour with minimal extra-thyroidal extension (e.g. extension to sternothyroid muscle or perithyroid soft tissues)  </w:t>
      </w:r>
    </w:p>
    <w:p w:rsidR="00580B70" w:rsidRPr="00580B70" w:rsidRDefault="0024756F" w:rsidP="002C15A9">
      <w:pPr>
        <w:widowControl w:val="0"/>
        <w:numPr>
          <w:ilvl w:val="0"/>
          <w:numId w:val="14"/>
        </w:numPr>
        <w:tabs>
          <w:tab w:val="left" w:pos="284"/>
          <w:tab w:val="left" w:pos="720"/>
        </w:tabs>
        <w:autoSpaceDE w:val="0"/>
        <w:autoSpaceDN w:val="0"/>
        <w:adjustRightInd w:val="0"/>
        <w:spacing w:after="240" w:line="260" w:lineRule="atLeast"/>
        <w:ind w:left="284" w:hanging="284"/>
        <w:rPr>
          <w:rFonts w:ascii="Verdana" w:hAnsi="Verdana" w:cs="Times"/>
          <w:sz w:val="20"/>
          <w:szCs w:val="20"/>
        </w:rPr>
      </w:pPr>
      <w:r>
        <w:rPr>
          <w:rFonts w:ascii="Verdana" w:hAnsi="Verdana" w:cs="Times"/>
          <w:sz w:val="20"/>
          <w:szCs w:val="20"/>
        </w:rPr>
        <w:t xml:space="preserve">T4a </w:t>
      </w:r>
      <w:r w:rsidR="00580B70" w:rsidRPr="00580B70">
        <w:rPr>
          <w:rFonts w:ascii="Verdana" w:hAnsi="Verdana" w:cs="Times"/>
          <w:sz w:val="20"/>
          <w:szCs w:val="20"/>
        </w:rPr>
        <w:t>Tumour of any size extending beyond the thyroid capsule to invade subcutaneous soft tissues, larynx, trachea, oesophagus</w:t>
      </w:r>
      <w:r w:rsidR="00EE1A45">
        <w:rPr>
          <w:rFonts w:ascii="Verdana" w:hAnsi="Verdana" w:cs="Times"/>
          <w:sz w:val="20"/>
          <w:szCs w:val="20"/>
        </w:rPr>
        <w:t xml:space="preserve">, or recurrent laryngeal nerve </w:t>
      </w:r>
    </w:p>
    <w:p w:rsidR="00580B70" w:rsidRPr="00580B70" w:rsidRDefault="00580B70" w:rsidP="002C15A9">
      <w:pPr>
        <w:widowControl w:val="0"/>
        <w:numPr>
          <w:ilvl w:val="0"/>
          <w:numId w:val="14"/>
        </w:numPr>
        <w:tabs>
          <w:tab w:val="left" w:pos="284"/>
          <w:tab w:val="left" w:pos="720"/>
        </w:tabs>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T4b  Tumour invades prevertebral fascia or encases carotid</w:t>
      </w:r>
      <w:r w:rsidR="00EE1A45">
        <w:rPr>
          <w:rFonts w:ascii="Verdana" w:hAnsi="Verdana" w:cs="Times"/>
          <w:sz w:val="20"/>
          <w:szCs w:val="20"/>
        </w:rPr>
        <w:t xml:space="preserve"> artery or mediastinal vessels </w:t>
      </w:r>
    </w:p>
    <w:p w:rsidR="00580B70" w:rsidRPr="00580B70" w:rsidRDefault="00580B70" w:rsidP="00580B70">
      <w:pPr>
        <w:widowControl w:val="0"/>
        <w:autoSpaceDE w:val="0"/>
        <w:autoSpaceDN w:val="0"/>
        <w:adjustRightInd w:val="0"/>
        <w:spacing w:after="240" w:line="260" w:lineRule="atLeast"/>
        <w:rPr>
          <w:rFonts w:ascii="Verdana" w:hAnsi="Verdana" w:cs="Times"/>
          <w:i/>
          <w:sz w:val="20"/>
          <w:szCs w:val="20"/>
        </w:rPr>
      </w:pPr>
      <w:r w:rsidRPr="00580B70">
        <w:rPr>
          <w:rFonts w:ascii="Verdana" w:hAnsi="Verdana" w:cs="Times"/>
          <w:i/>
          <w:sz w:val="20"/>
          <w:szCs w:val="20"/>
        </w:rPr>
        <w:t xml:space="preserve">Staging of Regional lymph nodes (cervical or upper mediastinal) </w:t>
      </w:r>
    </w:p>
    <w:p w:rsidR="00580B70" w:rsidRPr="002C15A9" w:rsidRDefault="00580B70" w:rsidP="002C15A9">
      <w:pPr>
        <w:widowControl w:val="0"/>
        <w:numPr>
          <w:ilvl w:val="0"/>
          <w:numId w:val="17"/>
        </w:numPr>
        <w:autoSpaceDE w:val="0"/>
        <w:autoSpaceDN w:val="0"/>
        <w:adjustRightInd w:val="0"/>
        <w:spacing w:after="240" w:line="260" w:lineRule="atLeast"/>
        <w:ind w:left="284" w:hanging="284"/>
        <w:rPr>
          <w:rFonts w:ascii="Verdana" w:hAnsi="Verdana" w:cs="Times"/>
          <w:sz w:val="20"/>
          <w:szCs w:val="20"/>
        </w:rPr>
      </w:pPr>
      <w:r w:rsidRPr="002C15A9">
        <w:rPr>
          <w:rFonts w:ascii="Verdana" w:hAnsi="Verdana" w:cs="Times"/>
          <w:sz w:val="20"/>
          <w:szCs w:val="20"/>
        </w:rPr>
        <w:t xml:space="preserve">NX </w:t>
      </w:r>
      <w:r w:rsidR="002C15A9">
        <w:rPr>
          <w:rFonts w:ascii="Verdana" w:hAnsi="Verdana" w:cs="Times"/>
          <w:sz w:val="20"/>
          <w:szCs w:val="20"/>
        </w:rPr>
        <w:t xml:space="preserve"> </w:t>
      </w:r>
      <w:r w:rsidRPr="002C15A9">
        <w:rPr>
          <w:rFonts w:ascii="Verdana" w:hAnsi="Verdana" w:cs="Times"/>
          <w:sz w:val="20"/>
          <w:szCs w:val="20"/>
        </w:rPr>
        <w:t xml:space="preserve">Regional lymph nodes cannot be assessed </w:t>
      </w:r>
    </w:p>
    <w:p w:rsidR="00580B70" w:rsidRPr="00580B70" w:rsidRDefault="00580B70" w:rsidP="002C15A9">
      <w:pPr>
        <w:widowControl w:val="0"/>
        <w:numPr>
          <w:ilvl w:val="0"/>
          <w:numId w:val="12"/>
        </w:numPr>
        <w:tabs>
          <w:tab w:val="left" w:pos="284"/>
          <w:tab w:val="left" w:pos="720"/>
        </w:tabs>
        <w:autoSpaceDE w:val="0"/>
        <w:autoSpaceDN w:val="0"/>
        <w:adjustRightInd w:val="0"/>
        <w:spacing w:after="240" w:line="260" w:lineRule="atLeast"/>
        <w:ind w:hanging="720"/>
        <w:rPr>
          <w:rFonts w:ascii="Verdana" w:hAnsi="Verdana" w:cs="Times"/>
          <w:sz w:val="20"/>
          <w:szCs w:val="20"/>
        </w:rPr>
      </w:pPr>
      <w:r w:rsidRPr="00580B70">
        <w:rPr>
          <w:rFonts w:ascii="Verdana" w:hAnsi="Verdana" w:cs="Times"/>
          <w:sz w:val="20"/>
          <w:szCs w:val="20"/>
        </w:rPr>
        <w:t>N0  </w:t>
      </w:r>
      <w:r w:rsidRPr="00580B70">
        <w:rPr>
          <w:rFonts w:ascii="Verdana" w:hAnsi="Verdana" w:cs="Times"/>
          <w:sz w:val="20"/>
          <w:szCs w:val="20"/>
        </w:rPr>
        <w:tab/>
        <w:t xml:space="preserve">No </w:t>
      </w:r>
      <w:r w:rsidR="00EE1A45">
        <w:rPr>
          <w:rFonts w:ascii="Verdana" w:hAnsi="Verdana" w:cs="Times"/>
          <w:sz w:val="20"/>
          <w:szCs w:val="20"/>
        </w:rPr>
        <w:t xml:space="preserve">regional lymph node metastasis </w:t>
      </w:r>
    </w:p>
    <w:p w:rsidR="00580B70" w:rsidRPr="00580B70" w:rsidRDefault="00580B70" w:rsidP="002C15A9">
      <w:pPr>
        <w:widowControl w:val="0"/>
        <w:numPr>
          <w:ilvl w:val="0"/>
          <w:numId w:val="12"/>
        </w:numPr>
        <w:tabs>
          <w:tab w:val="left" w:pos="284"/>
          <w:tab w:val="left" w:pos="720"/>
        </w:tabs>
        <w:autoSpaceDE w:val="0"/>
        <w:autoSpaceDN w:val="0"/>
        <w:adjustRightInd w:val="0"/>
        <w:spacing w:after="240" w:line="260" w:lineRule="atLeast"/>
        <w:ind w:hanging="720"/>
        <w:rPr>
          <w:rFonts w:ascii="Verdana" w:hAnsi="Verdana" w:cs="Times"/>
          <w:sz w:val="20"/>
          <w:szCs w:val="20"/>
        </w:rPr>
      </w:pPr>
      <w:r w:rsidRPr="00580B70">
        <w:rPr>
          <w:rFonts w:ascii="Verdana" w:hAnsi="Verdana" w:cs="Times"/>
          <w:sz w:val="20"/>
          <w:szCs w:val="20"/>
        </w:rPr>
        <w:t>N1  </w:t>
      </w:r>
      <w:r w:rsidRPr="00580B70">
        <w:rPr>
          <w:rFonts w:ascii="Verdana" w:hAnsi="Verdana" w:cs="Times"/>
          <w:sz w:val="20"/>
          <w:szCs w:val="20"/>
        </w:rPr>
        <w:tab/>
      </w:r>
      <w:r w:rsidR="00EE1A45">
        <w:rPr>
          <w:rFonts w:ascii="Verdana" w:hAnsi="Verdana" w:cs="Times"/>
          <w:sz w:val="20"/>
          <w:szCs w:val="20"/>
        </w:rPr>
        <w:t xml:space="preserve">Regional lymph node metastasis </w:t>
      </w:r>
    </w:p>
    <w:p w:rsidR="00580B70" w:rsidRPr="00580B70" w:rsidRDefault="00FB2EEA" w:rsidP="002C15A9">
      <w:pPr>
        <w:widowControl w:val="0"/>
        <w:numPr>
          <w:ilvl w:val="0"/>
          <w:numId w:val="13"/>
        </w:numPr>
        <w:tabs>
          <w:tab w:val="left" w:pos="284"/>
          <w:tab w:val="left" w:pos="720"/>
        </w:tabs>
        <w:autoSpaceDE w:val="0"/>
        <w:autoSpaceDN w:val="0"/>
        <w:adjustRightInd w:val="0"/>
        <w:spacing w:after="240" w:line="260" w:lineRule="atLeast"/>
        <w:ind w:hanging="720"/>
        <w:rPr>
          <w:rFonts w:ascii="Verdana" w:hAnsi="Verdana" w:cs="Times"/>
          <w:sz w:val="20"/>
          <w:szCs w:val="20"/>
        </w:rPr>
      </w:pPr>
      <w:r>
        <w:rPr>
          <w:rFonts w:ascii="Verdana" w:hAnsi="Verdana" w:cs="Times"/>
          <w:sz w:val="20"/>
          <w:szCs w:val="20"/>
        </w:rPr>
        <w:t>N1a  </w:t>
      </w:r>
      <w:r w:rsidR="00580B70" w:rsidRPr="00580B70">
        <w:rPr>
          <w:rFonts w:ascii="Verdana" w:hAnsi="Verdana" w:cs="Times"/>
          <w:sz w:val="20"/>
          <w:szCs w:val="20"/>
        </w:rPr>
        <w:t>Metastases to Level VI (pretracheal, paratracheal, and prel</w:t>
      </w:r>
      <w:r w:rsidR="00EE1A45">
        <w:rPr>
          <w:rFonts w:ascii="Verdana" w:hAnsi="Verdana" w:cs="Times"/>
          <w:sz w:val="20"/>
          <w:szCs w:val="20"/>
        </w:rPr>
        <w:t xml:space="preserve">aryngeal/Delphian lymph nodes) </w:t>
      </w:r>
    </w:p>
    <w:p w:rsidR="00580B70" w:rsidRPr="00580B70" w:rsidRDefault="00FB2EEA" w:rsidP="002C15A9">
      <w:pPr>
        <w:widowControl w:val="0"/>
        <w:numPr>
          <w:ilvl w:val="0"/>
          <w:numId w:val="13"/>
        </w:numPr>
        <w:tabs>
          <w:tab w:val="left" w:pos="284"/>
          <w:tab w:val="left" w:pos="720"/>
        </w:tabs>
        <w:autoSpaceDE w:val="0"/>
        <w:autoSpaceDN w:val="0"/>
        <w:adjustRightInd w:val="0"/>
        <w:spacing w:after="240" w:line="260" w:lineRule="atLeast"/>
        <w:ind w:hanging="720"/>
        <w:rPr>
          <w:rFonts w:ascii="Verdana" w:hAnsi="Verdana" w:cs="Times"/>
          <w:sz w:val="20"/>
          <w:szCs w:val="20"/>
        </w:rPr>
      </w:pPr>
      <w:r>
        <w:rPr>
          <w:rFonts w:ascii="Verdana" w:hAnsi="Verdana" w:cs="Times"/>
          <w:sz w:val="20"/>
          <w:szCs w:val="20"/>
        </w:rPr>
        <w:t>N1b  </w:t>
      </w:r>
      <w:r w:rsidR="00580B70" w:rsidRPr="00580B70">
        <w:rPr>
          <w:rFonts w:ascii="Verdana" w:hAnsi="Verdana" w:cs="Times"/>
          <w:sz w:val="20"/>
          <w:szCs w:val="20"/>
        </w:rPr>
        <w:t>Metastases to unilateral, bilate</w:t>
      </w:r>
      <w:r w:rsidR="00EE1A45">
        <w:rPr>
          <w:rFonts w:ascii="Verdana" w:hAnsi="Verdana" w:cs="Times"/>
          <w:sz w:val="20"/>
          <w:szCs w:val="20"/>
        </w:rPr>
        <w:t xml:space="preserve">ral, or contralateral cervical </w:t>
      </w:r>
      <w:r w:rsidR="00580B70" w:rsidRPr="00580B70">
        <w:rPr>
          <w:rFonts w:ascii="Verdana" w:hAnsi="Verdana" w:cs="Times"/>
          <w:sz w:val="20"/>
          <w:szCs w:val="20"/>
        </w:rPr>
        <w:t>(Levels I, II, III, IV, or V) or retropharyngeal or superior media</w:t>
      </w:r>
      <w:r w:rsidR="00EE1A45">
        <w:rPr>
          <w:rFonts w:ascii="Verdana" w:hAnsi="Verdana" w:cs="Times"/>
          <w:sz w:val="20"/>
          <w:szCs w:val="20"/>
        </w:rPr>
        <w:t xml:space="preserve">stinal lymph nodes (Level VII) </w:t>
      </w:r>
    </w:p>
    <w:p w:rsidR="00C9282E" w:rsidRDefault="00C9282E" w:rsidP="00580B70">
      <w:pPr>
        <w:widowControl w:val="0"/>
        <w:autoSpaceDE w:val="0"/>
        <w:autoSpaceDN w:val="0"/>
        <w:adjustRightInd w:val="0"/>
        <w:spacing w:after="240" w:line="260" w:lineRule="atLeast"/>
        <w:rPr>
          <w:rFonts w:ascii="Verdana" w:hAnsi="Verdana" w:cs="Times"/>
          <w:i/>
          <w:sz w:val="20"/>
          <w:szCs w:val="20"/>
        </w:rPr>
      </w:pPr>
    </w:p>
    <w:p w:rsidR="00C9282E" w:rsidRDefault="00C9282E" w:rsidP="00580B70">
      <w:pPr>
        <w:widowControl w:val="0"/>
        <w:autoSpaceDE w:val="0"/>
        <w:autoSpaceDN w:val="0"/>
        <w:adjustRightInd w:val="0"/>
        <w:spacing w:after="240" w:line="260" w:lineRule="atLeast"/>
        <w:rPr>
          <w:rFonts w:ascii="Verdana" w:hAnsi="Verdana" w:cs="Times"/>
          <w:i/>
          <w:sz w:val="20"/>
          <w:szCs w:val="20"/>
        </w:rPr>
      </w:pPr>
    </w:p>
    <w:p w:rsidR="00580B70" w:rsidRPr="00580B70" w:rsidRDefault="00580B70" w:rsidP="00580B70">
      <w:pPr>
        <w:widowControl w:val="0"/>
        <w:autoSpaceDE w:val="0"/>
        <w:autoSpaceDN w:val="0"/>
        <w:adjustRightInd w:val="0"/>
        <w:spacing w:after="240" w:line="260" w:lineRule="atLeast"/>
        <w:rPr>
          <w:rFonts w:ascii="Verdana" w:hAnsi="Verdana" w:cs="Times"/>
          <w:i/>
          <w:sz w:val="20"/>
          <w:szCs w:val="20"/>
        </w:rPr>
      </w:pPr>
      <w:r w:rsidRPr="00580B70">
        <w:rPr>
          <w:rFonts w:ascii="Verdana" w:hAnsi="Verdana" w:cs="Times"/>
          <w:i/>
          <w:sz w:val="20"/>
          <w:szCs w:val="20"/>
        </w:rPr>
        <w:lastRenderedPageBreak/>
        <w:t xml:space="preserve">Distant metastases </w:t>
      </w:r>
    </w:p>
    <w:p w:rsidR="00580B70" w:rsidRPr="00580B70" w:rsidRDefault="00EE1A45" w:rsidP="002C15A9">
      <w:pPr>
        <w:widowControl w:val="0"/>
        <w:numPr>
          <w:ilvl w:val="0"/>
          <w:numId w:val="14"/>
        </w:numPr>
        <w:tabs>
          <w:tab w:val="left" w:pos="220"/>
          <w:tab w:val="left" w:pos="720"/>
        </w:tabs>
        <w:autoSpaceDE w:val="0"/>
        <w:autoSpaceDN w:val="0"/>
        <w:adjustRightInd w:val="0"/>
        <w:spacing w:after="240" w:line="260" w:lineRule="atLeast"/>
        <w:ind w:hanging="720"/>
        <w:rPr>
          <w:rFonts w:ascii="Verdana" w:hAnsi="Verdana" w:cs="Times"/>
          <w:sz w:val="20"/>
          <w:szCs w:val="20"/>
        </w:rPr>
      </w:pPr>
      <w:r>
        <w:rPr>
          <w:rFonts w:ascii="Verdana" w:hAnsi="Verdana" w:cs="Times"/>
          <w:sz w:val="20"/>
          <w:szCs w:val="20"/>
        </w:rPr>
        <w:t>M0  </w:t>
      </w:r>
      <w:r>
        <w:rPr>
          <w:rFonts w:ascii="Verdana" w:hAnsi="Verdana" w:cs="Times"/>
          <w:sz w:val="20"/>
          <w:szCs w:val="20"/>
        </w:rPr>
        <w:tab/>
        <w:t xml:space="preserve">No distant metastasis </w:t>
      </w:r>
    </w:p>
    <w:p w:rsidR="00580B70" w:rsidRPr="00580B70" w:rsidRDefault="00EE1A45" w:rsidP="002C15A9">
      <w:pPr>
        <w:widowControl w:val="0"/>
        <w:numPr>
          <w:ilvl w:val="0"/>
          <w:numId w:val="14"/>
        </w:numPr>
        <w:tabs>
          <w:tab w:val="left" w:pos="220"/>
          <w:tab w:val="left" w:pos="720"/>
        </w:tabs>
        <w:autoSpaceDE w:val="0"/>
        <w:autoSpaceDN w:val="0"/>
        <w:adjustRightInd w:val="0"/>
        <w:spacing w:after="240" w:line="260" w:lineRule="atLeast"/>
        <w:ind w:hanging="720"/>
        <w:rPr>
          <w:rFonts w:ascii="Verdana" w:hAnsi="Verdana" w:cs="Times"/>
          <w:sz w:val="20"/>
          <w:szCs w:val="20"/>
        </w:rPr>
      </w:pPr>
      <w:r>
        <w:rPr>
          <w:rFonts w:ascii="Verdana" w:hAnsi="Verdana" w:cs="Times"/>
          <w:sz w:val="20"/>
          <w:szCs w:val="20"/>
        </w:rPr>
        <w:t>M1  </w:t>
      </w:r>
      <w:r>
        <w:rPr>
          <w:rFonts w:ascii="Verdana" w:hAnsi="Verdana" w:cs="Times"/>
          <w:sz w:val="20"/>
          <w:szCs w:val="20"/>
        </w:rPr>
        <w:tab/>
        <w:t xml:space="preserve">Distant metastasis </w:t>
      </w:r>
    </w:p>
    <w:p w:rsidR="00580B70" w:rsidRPr="00580B70" w:rsidRDefault="00580B70" w:rsidP="00580B70">
      <w:pPr>
        <w:widowControl w:val="0"/>
        <w:tabs>
          <w:tab w:val="left" w:pos="220"/>
          <w:tab w:val="left" w:pos="720"/>
        </w:tabs>
        <w:autoSpaceDE w:val="0"/>
        <w:autoSpaceDN w:val="0"/>
        <w:adjustRightInd w:val="0"/>
        <w:spacing w:after="240" w:line="260" w:lineRule="atLeast"/>
        <w:rPr>
          <w:rFonts w:ascii="Verdana" w:hAnsi="Verdana" w:cs="Times"/>
          <w:i/>
          <w:sz w:val="20"/>
          <w:szCs w:val="20"/>
        </w:rPr>
      </w:pPr>
      <w:r w:rsidRPr="00580B70">
        <w:rPr>
          <w:rFonts w:ascii="Verdana" w:hAnsi="Verdana" w:cs="Times"/>
          <w:i/>
          <w:sz w:val="20"/>
          <w:szCs w:val="20"/>
        </w:rPr>
        <w:t>Residual Disease</w:t>
      </w:r>
    </w:p>
    <w:p w:rsidR="00580B70" w:rsidRPr="00580B70" w:rsidRDefault="00580B70" w:rsidP="002C15A9">
      <w:pPr>
        <w:widowControl w:val="0"/>
        <w:numPr>
          <w:ilvl w:val="0"/>
          <w:numId w:val="15"/>
        </w:numPr>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 xml:space="preserve">RX </w:t>
      </w:r>
      <w:r w:rsidRPr="00580B70">
        <w:rPr>
          <w:rFonts w:ascii="Verdana" w:hAnsi="Verdana" w:cs="Times"/>
          <w:sz w:val="20"/>
          <w:szCs w:val="20"/>
        </w:rPr>
        <w:tab/>
        <w:t xml:space="preserve">Cannot assess presence of residual primary tumour </w:t>
      </w:r>
    </w:p>
    <w:p w:rsidR="00580B70" w:rsidRPr="00580B70" w:rsidRDefault="00580B70" w:rsidP="002C15A9">
      <w:pPr>
        <w:widowControl w:val="0"/>
        <w:numPr>
          <w:ilvl w:val="0"/>
          <w:numId w:val="15"/>
        </w:numPr>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 xml:space="preserve">R0 </w:t>
      </w:r>
      <w:r w:rsidRPr="00580B70">
        <w:rPr>
          <w:rFonts w:ascii="Verdana" w:hAnsi="Verdana" w:cs="Times"/>
          <w:sz w:val="20"/>
          <w:szCs w:val="20"/>
        </w:rPr>
        <w:tab/>
        <w:t>No residual primary tumour</w:t>
      </w:r>
    </w:p>
    <w:p w:rsidR="00580B70" w:rsidRPr="00580B70" w:rsidRDefault="00580B70" w:rsidP="002C15A9">
      <w:pPr>
        <w:widowControl w:val="0"/>
        <w:numPr>
          <w:ilvl w:val="0"/>
          <w:numId w:val="15"/>
        </w:numPr>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 xml:space="preserve">R1 </w:t>
      </w:r>
      <w:r w:rsidRPr="00580B70">
        <w:rPr>
          <w:rFonts w:ascii="Verdana" w:hAnsi="Verdana" w:cs="Times"/>
          <w:sz w:val="20"/>
          <w:szCs w:val="20"/>
        </w:rPr>
        <w:tab/>
        <w:t>Microscopic residual primary tumour</w:t>
      </w:r>
    </w:p>
    <w:p w:rsidR="00580B70" w:rsidRPr="00C9282E" w:rsidRDefault="00580B70" w:rsidP="00580B70">
      <w:pPr>
        <w:widowControl w:val="0"/>
        <w:numPr>
          <w:ilvl w:val="0"/>
          <w:numId w:val="15"/>
        </w:numPr>
        <w:autoSpaceDE w:val="0"/>
        <w:autoSpaceDN w:val="0"/>
        <w:adjustRightInd w:val="0"/>
        <w:spacing w:after="240" w:line="260" w:lineRule="atLeast"/>
        <w:ind w:left="284" w:hanging="284"/>
        <w:rPr>
          <w:rFonts w:ascii="Verdana" w:hAnsi="Verdana" w:cs="Times"/>
          <w:sz w:val="20"/>
          <w:szCs w:val="20"/>
        </w:rPr>
      </w:pPr>
      <w:r w:rsidRPr="00580B70">
        <w:rPr>
          <w:rFonts w:ascii="Verdana" w:hAnsi="Verdana" w:cs="Times"/>
          <w:sz w:val="20"/>
          <w:szCs w:val="20"/>
        </w:rPr>
        <w:t xml:space="preserve">R2 </w:t>
      </w:r>
      <w:r w:rsidRPr="00580B70">
        <w:rPr>
          <w:rFonts w:ascii="Verdana" w:hAnsi="Verdana" w:cs="Times"/>
          <w:sz w:val="20"/>
          <w:szCs w:val="20"/>
        </w:rPr>
        <w:tab/>
        <w:t>Macroscopic residual primary tumour</w:t>
      </w:r>
    </w:p>
    <w:p w:rsidR="009D210E" w:rsidRDefault="00345A23" w:rsidP="009D210E">
      <w:pPr>
        <w:widowControl w:val="0"/>
        <w:autoSpaceDE w:val="0"/>
        <w:autoSpaceDN w:val="0"/>
        <w:adjustRightInd w:val="0"/>
        <w:spacing w:after="240" w:line="260" w:lineRule="atLeast"/>
        <w:rPr>
          <w:rFonts w:ascii="Verdana" w:hAnsi="Verdana"/>
          <w:sz w:val="20"/>
        </w:rPr>
      </w:pPr>
      <w:r>
        <w:rPr>
          <w:rFonts w:ascii="Verdana" w:hAnsi="Verdana"/>
          <w:b/>
          <w:sz w:val="20"/>
        </w:rPr>
        <w:t>Investigations</w:t>
      </w:r>
    </w:p>
    <w:p w:rsidR="00FF1131" w:rsidRDefault="00FF1131" w:rsidP="009D210E">
      <w:pPr>
        <w:widowControl w:val="0"/>
        <w:autoSpaceDE w:val="0"/>
        <w:autoSpaceDN w:val="0"/>
        <w:adjustRightInd w:val="0"/>
        <w:spacing w:after="240" w:line="260" w:lineRule="atLeast"/>
        <w:rPr>
          <w:rFonts w:ascii="Verdana" w:hAnsi="Verdana"/>
          <w:sz w:val="20"/>
        </w:rPr>
      </w:pPr>
      <w:r>
        <w:rPr>
          <w:rFonts w:ascii="Verdana" w:hAnsi="Verdana"/>
          <w:sz w:val="20"/>
        </w:rPr>
        <w:t xml:space="preserve">Imaging: </w:t>
      </w:r>
    </w:p>
    <w:p w:rsidR="00FF1131" w:rsidRDefault="00E86980" w:rsidP="002C15A9">
      <w:pPr>
        <w:numPr>
          <w:ilvl w:val="0"/>
          <w:numId w:val="5"/>
        </w:numPr>
        <w:rPr>
          <w:rFonts w:ascii="Verdana" w:hAnsi="Verdana"/>
          <w:sz w:val="20"/>
        </w:rPr>
      </w:pPr>
      <w:r>
        <w:rPr>
          <w:rFonts w:ascii="Verdana" w:hAnsi="Verdana"/>
          <w:sz w:val="20"/>
        </w:rPr>
        <w:t>Ultrasound scan of the neck</w:t>
      </w:r>
      <w:r w:rsidR="001051CA">
        <w:rPr>
          <w:rFonts w:ascii="Verdana" w:hAnsi="Verdana"/>
          <w:sz w:val="20"/>
        </w:rPr>
        <w:t xml:space="preserve"> including assessment of LN status</w:t>
      </w:r>
    </w:p>
    <w:p w:rsidR="0016172F" w:rsidRDefault="0016172F" w:rsidP="002C15A9">
      <w:pPr>
        <w:numPr>
          <w:ilvl w:val="0"/>
          <w:numId w:val="5"/>
        </w:numPr>
        <w:rPr>
          <w:rFonts w:ascii="Verdana" w:hAnsi="Verdana"/>
          <w:sz w:val="20"/>
        </w:rPr>
      </w:pPr>
      <w:r>
        <w:rPr>
          <w:rFonts w:ascii="Verdana" w:hAnsi="Verdana"/>
          <w:sz w:val="20"/>
        </w:rPr>
        <w:t xml:space="preserve">Cross-sectional imaging in selected circumstances only </w:t>
      </w:r>
      <w:r w:rsidR="00345A23">
        <w:rPr>
          <w:rFonts w:ascii="Verdana" w:hAnsi="Verdana"/>
          <w:sz w:val="20"/>
        </w:rPr>
        <w:t>(see above)</w:t>
      </w:r>
    </w:p>
    <w:p w:rsidR="00E86980" w:rsidRDefault="00FF1131" w:rsidP="00D80C86">
      <w:pPr>
        <w:rPr>
          <w:rFonts w:ascii="Verdana" w:hAnsi="Verdana"/>
          <w:sz w:val="20"/>
        </w:rPr>
      </w:pPr>
      <w:r>
        <w:rPr>
          <w:rFonts w:ascii="Verdana" w:hAnsi="Verdana"/>
          <w:sz w:val="20"/>
        </w:rPr>
        <w:t xml:space="preserve">Blood tests: </w:t>
      </w:r>
    </w:p>
    <w:p w:rsidR="00E86980" w:rsidRDefault="00345A23" w:rsidP="002C15A9">
      <w:pPr>
        <w:numPr>
          <w:ilvl w:val="0"/>
          <w:numId w:val="7"/>
        </w:numPr>
        <w:rPr>
          <w:rFonts w:ascii="Verdana" w:hAnsi="Verdana"/>
          <w:sz w:val="20"/>
        </w:rPr>
      </w:pPr>
      <w:r>
        <w:rPr>
          <w:rFonts w:ascii="Verdana" w:hAnsi="Verdana"/>
          <w:sz w:val="20"/>
        </w:rPr>
        <w:t>T</w:t>
      </w:r>
      <w:r w:rsidR="00E86980">
        <w:rPr>
          <w:rFonts w:ascii="Verdana" w:hAnsi="Verdana"/>
          <w:sz w:val="20"/>
        </w:rPr>
        <w:t>hyroid function</w:t>
      </w:r>
    </w:p>
    <w:p w:rsidR="00D70159" w:rsidRDefault="008D200C" w:rsidP="002C15A9">
      <w:pPr>
        <w:numPr>
          <w:ilvl w:val="0"/>
          <w:numId w:val="7"/>
        </w:numPr>
        <w:rPr>
          <w:rFonts w:ascii="Verdana" w:hAnsi="Verdana"/>
          <w:sz w:val="20"/>
        </w:rPr>
      </w:pPr>
      <w:r>
        <w:rPr>
          <w:rFonts w:ascii="Verdana" w:hAnsi="Verdana"/>
          <w:sz w:val="20"/>
        </w:rPr>
        <w:t xml:space="preserve">Thyroglobulin (Tg) </w:t>
      </w:r>
      <w:r w:rsidR="00B821F3">
        <w:rPr>
          <w:rFonts w:ascii="Verdana" w:hAnsi="Verdana"/>
          <w:sz w:val="20"/>
        </w:rPr>
        <w:t>(follow up only)</w:t>
      </w:r>
    </w:p>
    <w:p w:rsidR="00E86980" w:rsidRDefault="00E86980" w:rsidP="00D80C86">
      <w:pPr>
        <w:rPr>
          <w:rFonts w:ascii="Verdana" w:hAnsi="Verdana"/>
          <w:sz w:val="20"/>
        </w:rPr>
      </w:pPr>
      <w:r>
        <w:rPr>
          <w:rFonts w:ascii="Verdana" w:hAnsi="Verdana"/>
          <w:sz w:val="20"/>
        </w:rPr>
        <w:t>Cytology</w:t>
      </w:r>
    </w:p>
    <w:p w:rsidR="00E86980" w:rsidRDefault="00E86980" w:rsidP="002C15A9">
      <w:pPr>
        <w:numPr>
          <w:ilvl w:val="0"/>
          <w:numId w:val="8"/>
        </w:numPr>
        <w:rPr>
          <w:rFonts w:ascii="Verdana" w:hAnsi="Verdana"/>
          <w:sz w:val="20"/>
        </w:rPr>
      </w:pPr>
      <w:r>
        <w:rPr>
          <w:rFonts w:ascii="Verdana" w:hAnsi="Verdana"/>
          <w:sz w:val="20"/>
        </w:rPr>
        <w:t>FNAC of thyroid nodule</w:t>
      </w:r>
      <w:r w:rsidR="00345A23">
        <w:rPr>
          <w:rFonts w:ascii="Verdana" w:hAnsi="Verdana"/>
          <w:sz w:val="20"/>
        </w:rPr>
        <w:t xml:space="preserve"> or pathological lymph node</w:t>
      </w:r>
    </w:p>
    <w:p w:rsidR="00DB2FB5" w:rsidRDefault="00DB2FB5" w:rsidP="00D80C86">
      <w:pPr>
        <w:rPr>
          <w:rFonts w:ascii="Verdana" w:hAnsi="Verdana"/>
          <w:sz w:val="20"/>
        </w:rPr>
      </w:pPr>
    </w:p>
    <w:p w:rsidR="0024756F" w:rsidRDefault="0024756F" w:rsidP="0024756F">
      <w:pPr>
        <w:rPr>
          <w:rFonts w:ascii="Verdana" w:hAnsi="Verdana"/>
          <w:sz w:val="20"/>
        </w:rPr>
      </w:pPr>
      <w:r>
        <w:rPr>
          <w:rFonts w:ascii="Verdana" w:hAnsi="Verdana"/>
          <w:b/>
          <w:sz w:val="20"/>
        </w:rPr>
        <w:t>Surgery</w:t>
      </w:r>
    </w:p>
    <w:p w:rsidR="0024756F" w:rsidRPr="0072445B" w:rsidRDefault="0024756F" w:rsidP="0024756F">
      <w:pPr>
        <w:widowControl w:val="0"/>
        <w:autoSpaceDE w:val="0"/>
        <w:autoSpaceDN w:val="0"/>
        <w:adjustRightInd w:val="0"/>
        <w:rPr>
          <w:rFonts w:ascii="Verdana" w:hAnsi="Verdana" w:cs="Helvetica"/>
          <w:sz w:val="20"/>
          <w:szCs w:val="20"/>
        </w:rPr>
      </w:pPr>
      <w:r w:rsidRPr="0072445B">
        <w:rPr>
          <w:rFonts w:ascii="Verdana" w:hAnsi="Verdana" w:cs="Helvetica"/>
          <w:sz w:val="20"/>
          <w:szCs w:val="20"/>
        </w:rPr>
        <w:t xml:space="preserve">Initial treatment for DTC is surgery in almost all cases. For tumours </w:t>
      </w:r>
      <w:r w:rsidRPr="00B56A0F">
        <w:rPr>
          <w:rFonts w:ascii="MS Gothic" w:eastAsia="MS Gothic" w:hAnsi="MS Gothic"/>
          <w:color w:val="000000"/>
        </w:rPr>
        <w:t>≥</w:t>
      </w:r>
      <w:r w:rsidRPr="0072445B">
        <w:rPr>
          <w:rFonts w:ascii="Verdana" w:hAnsi="Verdana" w:cs="Helvetica"/>
          <w:sz w:val="20"/>
          <w:szCs w:val="20"/>
        </w:rPr>
        <w:t>4cm</w:t>
      </w:r>
      <w:r>
        <w:rPr>
          <w:rFonts w:ascii="Verdana" w:hAnsi="Verdana" w:cs="Helvetica"/>
          <w:sz w:val="20"/>
          <w:szCs w:val="20"/>
        </w:rPr>
        <w:t>,</w:t>
      </w:r>
      <w:r w:rsidRPr="0072445B">
        <w:rPr>
          <w:rFonts w:ascii="Verdana" w:hAnsi="Verdana" w:cs="Helvetica"/>
          <w:sz w:val="20"/>
          <w:szCs w:val="20"/>
        </w:rPr>
        <w:t xml:space="preserve"> total thyroidectomy is indicated. In addition, those cases felt suitable for RAI will also require total thyroidectomy to facilitate adjuvant treatment. In the absence of such features, uninodular intrathyroid tumours &lt;4cm may be treated with thyroid lobectomy or total thyroidectomy. Such patients should be con</w:t>
      </w:r>
      <w:r>
        <w:rPr>
          <w:rFonts w:ascii="Verdana" w:hAnsi="Verdana" w:cs="Helvetica"/>
          <w:sz w:val="20"/>
          <w:szCs w:val="20"/>
        </w:rPr>
        <w:t>sidered on a case-by-</w:t>
      </w:r>
      <w:r w:rsidRPr="0072445B">
        <w:rPr>
          <w:rFonts w:ascii="Verdana" w:hAnsi="Verdana" w:cs="Helvetica"/>
          <w:sz w:val="20"/>
          <w:szCs w:val="20"/>
        </w:rPr>
        <w:t xml:space="preserve">case basis. </w:t>
      </w:r>
    </w:p>
    <w:p w:rsidR="0024756F" w:rsidRPr="0072445B" w:rsidRDefault="0024756F" w:rsidP="0024756F">
      <w:pPr>
        <w:widowControl w:val="0"/>
        <w:autoSpaceDE w:val="0"/>
        <w:autoSpaceDN w:val="0"/>
        <w:adjustRightInd w:val="0"/>
        <w:rPr>
          <w:rFonts w:ascii="Verdana" w:hAnsi="Verdana" w:cs="Helvetica"/>
          <w:sz w:val="20"/>
          <w:szCs w:val="20"/>
        </w:rPr>
      </w:pPr>
    </w:p>
    <w:p w:rsidR="0024756F" w:rsidRPr="0072445B" w:rsidRDefault="0024756F" w:rsidP="0024756F">
      <w:pPr>
        <w:autoSpaceDE w:val="0"/>
        <w:autoSpaceDN w:val="0"/>
        <w:adjustRightInd w:val="0"/>
        <w:rPr>
          <w:rFonts w:ascii="Verdana" w:eastAsia="MS Mincho" w:hAnsi="Verdana" w:cs="AdvPS94BA"/>
          <w:sz w:val="20"/>
          <w:szCs w:val="20"/>
          <w:lang w:val="en-GB" w:eastAsia="ja-JP"/>
        </w:rPr>
      </w:pPr>
      <w:r w:rsidRPr="0072445B">
        <w:rPr>
          <w:rFonts w:ascii="Verdana" w:hAnsi="Verdana" w:cs="Helvetica"/>
          <w:sz w:val="20"/>
          <w:szCs w:val="20"/>
        </w:rPr>
        <w:t xml:space="preserve">Therapeutic neck dissection should be performed for proven disease in the central (level </w:t>
      </w:r>
      <w:r>
        <w:rPr>
          <w:rFonts w:ascii="Verdana" w:hAnsi="Verdana" w:cs="Helvetica"/>
          <w:sz w:val="20"/>
          <w:szCs w:val="20"/>
        </w:rPr>
        <w:t>VI</w:t>
      </w:r>
      <w:r w:rsidRPr="0072445B">
        <w:rPr>
          <w:rFonts w:ascii="Verdana" w:hAnsi="Verdana" w:cs="Helvetica"/>
          <w:sz w:val="20"/>
          <w:szCs w:val="20"/>
        </w:rPr>
        <w:t xml:space="preserve"> and </w:t>
      </w:r>
      <w:r>
        <w:rPr>
          <w:rFonts w:ascii="Verdana" w:hAnsi="Verdana" w:cs="Helvetica"/>
          <w:sz w:val="20"/>
          <w:szCs w:val="20"/>
        </w:rPr>
        <w:t>VII</w:t>
      </w:r>
      <w:r w:rsidRPr="0072445B">
        <w:rPr>
          <w:rFonts w:ascii="Verdana" w:hAnsi="Verdana" w:cs="Helvetica"/>
          <w:sz w:val="20"/>
          <w:szCs w:val="20"/>
        </w:rPr>
        <w:t xml:space="preserve">) or lateral (level </w:t>
      </w:r>
      <w:r>
        <w:rPr>
          <w:rFonts w:ascii="Verdana" w:hAnsi="Verdana" w:cs="Helvetica"/>
          <w:sz w:val="20"/>
          <w:szCs w:val="20"/>
        </w:rPr>
        <w:t>II-V</w:t>
      </w:r>
      <w:r w:rsidRPr="0072445B">
        <w:rPr>
          <w:rFonts w:ascii="Verdana" w:hAnsi="Verdana" w:cs="Helvetica"/>
          <w:sz w:val="20"/>
          <w:szCs w:val="20"/>
        </w:rPr>
        <w:t xml:space="preserve">) neck. There is no role </w:t>
      </w:r>
      <w:r>
        <w:rPr>
          <w:rFonts w:ascii="Verdana" w:hAnsi="Verdana" w:cs="Helvetica"/>
          <w:sz w:val="20"/>
          <w:szCs w:val="20"/>
        </w:rPr>
        <w:t>for</w:t>
      </w:r>
      <w:r w:rsidRPr="0072445B">
        <w:rPr>
          <w:rFonts w:ascii="Verdana" w:hAnsi="Verdana" w:cs="Helvetica"/>
          <w:sz w:val="20"/>
          <w:szCs w:val="20"/>
        </w:rPr>
        <w:t xml:space="preserve"> prophylactic lateral neck surgery and prophylactic central neck dissection is controversial with no survival benefit and limited evidence of benefit in terms of recurrence. Prophylactic central neck surgery should be considered in the highest risk cases (e.g. T4 disease). </w:t>
      </w:r>
      <w:r w:rsidRPr="0072445B">
        <w:rPr>
          <w:rFonts w:ascii="Verdana" w:eastAsia="MS Mincho" w:hAnsi="Verdana" w:cs="AdvPS94BA"/>
          <w:sz w:val="20"/>
          <w:szCs w:val="20"/>
          <w:lang w:val="en-GB" w:eastAsia="ja-JP"/>
        </w:rPr>
        <w:t xml:space="preserve">In expert hands surgical complications such as laryngeal nerve palsy and hypoparathyroidism, are </w:t>
      </w:r>
      <w:r>
        <w:rPr>
          <w:rFonts w:ascii="Verdana" w:eastAsia="MS Mincho" w:hAnsi="Verdana" w:cs="AdvPS94BA"/>
          <w:sz w:val="20"/>
          <w:szCs w:val="20"/>
          <w:lang w:val="en-GB" w:eastAsia="ja-JP"/>
        </w:rPr>
        <w:t>uncommon.</w:t>
      </w:r>
    </w:p>
    <w:p w:rsidR="003736E5" w:rsidRDefault="003736E5" w:rsidP="001051CA">
      <w:pPr>
        <w:autoSpaceDE w:val="0"/>
        <w:autoSpaceDN w:val="0"/>
        <w:adjustRightInd w:val="0"/>
        <w:rPr>
          <w:rFonts w:ascii="Verdana" w:eastAsia="MS Mincho" w:hAnsi="Verdana" w:cs="AdvPS94BA"/>
          <w:sz w:val="20"/>
          <w:szCs w:val="20"/>
          <w:lang w:val="en-GB" w:eastAsia="ja-JP"/>
        </w:rPr>
      </w:pPr>
    </w:p>
    <w:p w:rsidR="00625539" w:rsidRPr="00C61230" w:rsidRDefault="00EB5E32" w:rsidP="00625539">
      <w:pPr>
        <w:rPr>
          <w:rFonts w:ascii="Verdana" w:hAnsi="Verdana"/>
          <w:b/>
          <w:sz w:val="20"/>
        </w:rPr>
      </w:pPr>
      <w:r>
        <w:rPr>
          <w:rFonts w:ascii="Verdana" w:hAnsi="Verdana"/>
          <w:b/>
          <w:sz w:val="20"/>
        </w:rPr>
        <w:t>Radio-iodine Therapy</w:t>
      </w:r>
      <w:r w:rsidR="00C61230">
        <w:rPr>
          <w:rFonts w:ascii="Verdana" w:hAnsi="Verdana"/>
          <w:b/>
          <w:sz w:val="20"/>
        </w:rPr>
        <w:t xml:space="preserve"> (RAI)</w:t>
      </w:r>
    </w:p>
    <w:p w:rsidR="00D70159" w:rsidRPr="00D70159" w:rsidRDefault="00D70159" w:rsidP="001051CA">
      <w:pPr>
        <w:autoSpaceDE w:val="0"/>
        <w:autoSpaceDN w:val="0"/>
        <w:adjustRightInd w:val="0"/>
        <w:rPr>
          <w:rFonts w:ascii="Verdana" w:eastAsia="MS Mincho" w:hAnsi="Verdana" w:cs="AdvPS94BA"/>
          <w:sz w:val="20"/>
          <w:szCs w:val="20"/>
          <w:u w:val="single"/>
          <w:lang w:val="en-GB" w:eastAsia="ja-JP"/>
        </w:rPr>
      </w:pPr>
      <w:r w:rsidRPr="00D70159">
        <w:rPr>
          <w:rFonts w:ascii="Verdana" w:eastAsia="MS Mincho" w:hAnsi="Verdana" w:cs="AdvPS94BA"/>
          <w:sz w:val="20"/>
          <w:szCs w:val="20"/>
          <w:u w:val="single"/>
          <w:lang w:val="en-GB" w:eastAsia="ja-JP"/>
        </w:rPr>
        <w:t>Adjuvant</w:t>
      </w:r>
    </w:p>
    <w:p w:rsidR="0024756F" w:rsidRDefault="0024756F" w:rsidP="0024756F">
      <w:pPr>
        <w:autoSpaceDE w:val="0"/>
        <w:autoSpaceDN w:val="0"/>
        <w:adjustRightInd w:val="0"/>
        <w:rPr>
          <w:rFonts w:ascii="Verdana" w:eastAsia="MS Mincho" w:hAnsi="Verdana" w:cs="AdvPS94BA"/>
          <w:sz w:val="20"/>
          <w:szCs w:val="20"/>
          <w:lang w:val="en-GB" w:eastAsia="ja-JP"/>
        </w:rPr>
      </w:pPr>
      <w:r w:rsidRPr="001051CA">
        <w:rPr>
          <w:rFonts w:ascii="Verdana" w:eastAsia="MS Mincho" w:hAnsi="Verdana" w:cs="AdvPS94BA"/>
          <w:sz w:val="20"/>
          <w:szCs w:val="20"/>
          <w:lang w:val="en-GB" w:eastAsia="ja-JP"/>
        </w:rPr>
        <w:t xml:space="preserve">Surgery </w:t>
      </w:r>
      <w:r>
        <w:rPr>
          <w:rFonts w:ascii="Verdana" w:eastAsia="MS Mincho" w:hAnsi="Verdana" w:cs="AdvPS94BA"/>
          <w:sz w:val="20"/>
          <w:szCs w:val="20"/>
          <w:lang w:val="en-GB" w:eastAsia="ja-JP"/>
        </w:rPr>
        <w:t>may be</w:t>
      </w:r>
      <w:r w:rsidRPr="001051CA">
        <w:rPr>
          <w:rFonts w:ascii="Verdana" w:eastAsia="MS Mincho" w:hAnsi="Verdana" w:cs="AdvPS94BA"/>
          <w:sz w:val="20"/>
          <w:szCs w:val="20"/>
          <w:lang w:val="en-GB" w:eastAsia="ja-JP"/>
        </w:rPr>
        <w:t xml:space="preserve"> followed by the administration of </w:t>
      </w:r>
      <w:r w:rsidRPr="00D70159">
        <w:rPr>
          <w:rFonts w:ascii="Verdana" w:eastAsia="MS Mincho" w:hAnsi="Verdana" w:cs="AdvPS94BA"/>
          <w:sz w:val="20"/>
          <w:szCs w:val="20"/>
          <w:vertAlign w:val="superscript"/>
          <w:lang w:val="en-GB" w:eastAsia="ja-JP"/>
        </w:rPr>
        <w:t>131</w:t>
      </w:r>
      <w:r w:rsidRPr="001051CA">
        <w:rPr>
          <w:rFonts w:ascii="Verdana" w:eastAsia="MS Mincho" w:hAnsi="Verdana" w:cs="AdvPS94BA"/>
          <w:sz w:val="20"/>
          <w:szCs w:val="20"/>
          <w:lang w:val="en-GB" w:eastAsia="ja-JP"/>
        </w:rPr>
        <w:t xml:space="preserve">I activities aimed at ablating any remnant thyroid tissue and potential microscopic residual tumour. </w:t>
      </w:r>
      <w:r>
        <w:rPr>
          <w:rFonts w:ascii="Verdana" w:eastAsia="MS Mincho" w:hAnsi="Verdana" w:cs="AdvPS94BA"/>
          <w:sz w:val="20"/>
          <w:szCs w:val="20"/>
          <w:lang w:val="en-GB" w:eastAsia="ja-JP"/>
        </w:rPr>
        <w:t>Ablation is not recommended for patients who have not undergone thyroidectomy/completion thyroidectomy, as the residual normal thyroid cells will preferentially take up the RAI. In select cases, RAI</w:t>
      </w:r>
      <w:r w:rsidRPr="001051CA">
        <w:rPr>
          <w:rFonts w:ascii="Verdana" w:eastAsia="MS Mincho" w:hAnsi="Verdana" w:cs="AdvPS94BA"/>
          <w:sz w:val="20"/>
          <w:szCs w:val="20"/>
          <w:lang w:val="en-GB" w:eastAsia="ja-JP"/>
        </w:rPr>
        <w:t xml:space="preserve"> </w:t>
      </w:r>
      <w:r>
        <w:rPr>
          <w:rFonts w:ascii="Verdana" w:eastAsia="MS Mincho" w:hAnsi="Verdana" w:cs="AdvPS94BA"/>
          <w:sz w:val="20"/>
          <w:szCs w:val="20"/>
          <w:lang w:val="en-GB" w:eastAsia="ja-JP"/>
        </w:rPr>
        <w:t>may decrease</w:t>
      </w:r>
      <w:r w:rsidRPr="001051CA">
        <w:rPr>
          <w:rFonts w:ascii="Verdana" w:eastAsia="MS Mincho" w:hAnsi="Verdana" w:cs="AdvPS94BA"/>
          <w:sz w:val="20"/>
          <w:szCs w:val="20"/>
          <w:lang w:val="en-GB" w:eastAsia="ja-JP"/>
        </w:rPr>
        <w:t xml:space="preserve"> the risk of locoregional recurrence</w:t>
      </w:r>
      <w:r>
        <w:rPr>
          <w:rFonts w:ascii="Verdana" w:eastAsia="MS Mincho" w:hAnsi="Verdana" w:cs="AdvPS94BA"/>
          <w:sz w:val="20"/>
          <w:szCs w:val="20"/>
          <w:lang w:val="en-GB" w:eastAsia="ja-JP"/>
        </w:rPr>
        <w:t>;</w:t>
      </w:r>
      <w:r w:rsidRPr="001051CA">
        <w:rPr>
          <w:rFonts w:ascii="Verdana" w:eastAsia="MS Mincho" w:hAnsi="Verdana" w:cs="AdvPS94BA"/>
          <w:sz w:val="20"/>
          <w:szCs w:val="20"/>
          <w:lang w:val="en-GB" w:eastAsia="ja-JP"/>
        </w:rPr>
        <w:t xml:space="preserve"> </w:t>
      </w:r>
      <w:r>
        <w:rPr>
          <w:rFonts w:ascii="Verdana" w:eastAsia="MS Mincho" w:hAnsi="Verdana" w:cs="AdvPS94BA"/>
          <w:sz w:val="20"/>
          <w:szCs w:val="20"/>
          <w:lang w:val="en-GB" w:eastAsia="ja-JP"/>
        </w:rPr>
        <w:t>it</w:t>
      </w:r>
      <w:r w:rsidRPr="001051CA">
        <w:rPr>
          <w:rFonts w:ascii="Verdana" w:eastAsia="MS Mincho" w:hAnsi="Verdana" w:cs="AdvPS94BA"/>
          <w:sz w:val="20"/>
          <w:szCs w:val="20"/>
          <w:lang w:val="en-GB" w:eastAsia="ja-JP"/>
        </w:rPr>
        <w:t xml:space="preserve"> facilitates long-term surveillance based on serum Tg measurement and diagnostic radioiodine whole body scan (WBS). In addition the high activity of </w:t>
      </w:r>
      <w:r w:rsidRPr="00B821F3">
        <w:rPr>
          <w:rFonts w:ascii="Verdana" w:eastAsia="MS Mincho" w:hAnsi="Verdana" w:cs="AdvPS94BA"/>
          <w:sz w:val="20"/>
          <w:szCs w:val="20"/>
          <w:vertAlign w:val="superscript"/>
          <w:lang w:val="en-GB" w:eastAsia="ja-JP"/>
        </w:rPr>
        <w:t>131</w:t>
      </w:r>
      <w:r w:rsidRPr="001051CA">
        <w:rPr>
          <w:rFonts w:ascii="Verdana" w:eastAsia="MS Mincho" w:hAnsi="Verdana" w:cs="AdvPS94BA"/>
          <w:sz w:val="20"/>
          <w:szCs w:val="20"/>
          <w:lang w:val="en-GB" w:eastAsia="ja-JP"/>
        </w:rPr>
        <w:t xml:space="preserve">I allows obtaining a highly sensitive post-therapeutic WBS. </w:t>
      </w:r>
    </w:p>
    <w:p w:rsidR="0007647A" w:rsidRDefault="0007647A" w:rsidP="001051CA">
      <w:pPr>
        <w:autoSpaceDE w:val="0"/>
        <w:autoSpaceDN w:val="0"/>
        <w:adjustRightInd w:val="0"/>
        <w:rPr>
          <w:rFonts w:ascii="Verdana" w:eastAsia="MS Mincho" w:hAnsi="Verdana" w:cs="AdvPS94BA"/>
          <w:sz w:val="20"/>
          <w:szCs w:val="20"/>
          <w:lang w:val="en-GB" w:eastAsia="ja-JP"/>
        </w:rPr>
      </w:pPr>
    </w:p>
    <w:p w:rsidR="001051CA" w:rsidRDefault="001051CA" w:rsidP="001051CA">
      <w:pPr>
        <w:autoSpaceDE w:val="0"/>
        <w:autoSpaceDN w:val="0"/>
        <w:adjustRightInd w:val="0"/>
        <w:rPr>
          <w:rFonts w:ascii="Verdana" w:eastAsia="MS Mincho" w:hAnsi="Verdana" w:cs="AdvPS94BA"/>
          <w:sz w:val="20"/>
          <w:szCs w:val="20"/>
          <w:lang w:val="en-GB" w:eastAsia="ja-JP"/>
        </w:rPr>
      </w:pPr>
      <w:r w:rsidRPr="00B821F3">
        <w:rPr>
          <w:rFonts w:ascii="Verdana" w:eastAsia="MS Mincho" w:hAnsi="Verdana" w:cs="AdvPSHN-M"/>
          <w:sz w:val="20"/>
          <w:szCs w:val="20"/>
          <w:lang w:val="en-GB" w:eastAsia="ja-JP"/>
        </w:rPr>
        <w:t xml:space="preserve">Table 1. </w:t>
      </w:r>
      <w:r w:rsidR="0007647A">
        <w:rPr>
          <w:rFonts w:ascii="Verdana" w:eastAsia="MS Mincho" w:hAnsi="Verdana" w:cs="AdvPS94BA"/>
          <w:sz w:val="20"/>
          <w:szCs w:val="20"/>
          <w:lang w:val="en-GB" w:eastAsia="ja-JP"/>
        </w:rPr>
        <w:t>Indications for Ablative Radioactive Iodine (BTA Guidelines, 2014)</w:t>
      </w:r>
    </w:p>
    <w:p w:rsidR="0007647A" w:rsidRPr="00B821F3" w:rsidRDefault="0007647A" w:rsidP="001051CA">
      <w:pPr>
        <w:autoSpaceDE w:val="0"/>
        <w:autoSpaceDN w:val="0"/>
        <w:adjustRightInd w:val="0"/>
        <w:rPr>
          <w:rFonts w:ascii="Verdana" w:eastAsia="MS Mincho" w:hAnsi="Verdana" w:cs="AdvPS94BA"/>
          <w:sz w:val="20"/>
          <w:szCs w:val="20"/>
          <w:lang w:val="en-GB" w:eastAsia="ja-JP"/>
        </w:rPr>
      </w:pPr>
    </w:p>
    <w:tbl>
      <w:tblPr>
        <w:tblW w:w="9747" w:type="dxa"/>
        <w:tblBorders>
          <w:top w:val="nil"/>
          <w:left w:val="nil"/>
          <w:right w:val="nil"/>
        </w:tblBorders>
        <w:tblLayout w:type="fixed"/>
        <w:tblLook w:val="0000"/>
      </w:tblPr>
      <w:tblGrid>
        <w:gridCol w:w="9747"/>
      </w:tblGrid>
      <w:tr w:rsidR="0007647A" w:rsidTr="00952C8B">
        <w:trPr>
          <w:trHeight w:val="3224"/>
        </w:trPr>
        <w:tc>
          <w:tcPr>
            <w:tcW w:w="9747" w:type="dxa"/>
            <w:tcBorders>
              <w:top w:val="single" w:sz="3" w:space="0" w:color="auto"/>
              <w:left w:val="single" w:sz="2" w:space="0" w:color="auto"/>
              <w:bottom w:val="single" w:sz="41" w:space="0" w:color="auto"/>
              <w:right w:val="single" w:sz="3" w:space="0" w:color="auto"/>
            </w:tcBorders>
            <w:shd w:val="clear" w:color="auto" w:fill="auto"/>
            <w:tcMar>
              <w:top w:w="20" w:type="nil"/>
              <w:left w:w="20" w:type="nil"/>
              <w:bottom w:w="20" w:type="nil"/>
              <w:right w:w="20" w:type="nil"/>
            </w:tcMar>
            <w:vAlign w:val="center"/>
          </w:tcPr>
          <w:p w:rsidR="0007647A" w:rsidRPr="0007647A" w:rsidRDefault="0007647A">
            <w:pPr>
              <w:widowControl w:val="0"/>
              <w:autoSpaceDE w:val="0"/>
              <w:autoSpaceDN w:val="0"/>
              <w:adjustRightInd w:val="0"/>
              <w:spacing w:after="240" w:line="260" w:lineRule="atLeast"/>
              <w:rPr>
                <w:rFonts w:ascii="Times" w:hAnsi="Times" w:cs="Times"/>
              </w:rPr>
            </w:pPr>
            <w:r w:rsidRPr="0007647A">
              <w:rPr>
                <w:rFonts w:ascii="Calibri" w:hAnsi="Calibri" w:cs="Calibri"/>
                <w:b/>
                <w:bCs/>
                <w:sz w:val="22"/>
                <w:szCs w:val="22"/>
              </w:rPr>
              <w:t xml:space="preserve">NO INDICATIONS </w:t>
            </w:r>
          </w:p>
          <w:p w:rsidR="0007647A" w:rsidRPr="0007647A" w:rsidRDefault="0007647A">
            <w:pPr>
              <w:widowControl w:val="0"/>
              <w:autoSpaceDE w:val="0"/>
              <w:autoSpaceDN w:val="0"/>
              <w:adjustRightInd w:val="0"/>
              <w:spacing w:after="240" w:line="260" w:lineRule="atLeast"/>
              <w:rPr>
                <w:rFonts w:ascii="Times" w:hAnsi="Times" w:cs="Times"/>
              </w:rPr>
            </w:pPr>
            <w:r w:rsidRPr="0007647A">
              <w:rPr>
                <w:rFonts w:ascii="Calibri" w:hAnsi="Calibri" w:cs="Calibri"/>
                <w:i/>
                <w:iCs/>
                <w:sz w:val="22"/>
                <w:szCs w:val="22"/>
              </w:rPr>
              <w:t xml:space="preserve">ALL CRITERIA BELOW SHOULD BE MET </w:t>
            </w:r>
          </w:p>
          <w:p w:rsidR="0007647A" w:rsidRPr="0007647A" w:rsidRDefault="0007647A" w:rsidP="002C15A9">
            <w:pPr>
              <w:widowControl w:val="0"/>
              <w:numPr>
                <w:ilvl w:val="0"/>
                <w:numId w:val="12"/>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Tumour &lt;1cm unifocal or mul</w:t>
            </w:r>
            <w:r w:rsidR="00EE1A45">
              <w:rPr>
                <w:rFonts w:ascii="Calibri" w:hAnsi="Calibri" w:cs="Calibri"/>
                <w:sz w:val="22"/>
                <w:szCs w:val="22"/>
              </w:rPr>
              <w:t>ti</w:t>
            </w:r>
            <w:r w:rsidRPr="0007647A">
              <w:rPr>
                <w:rFonts w:ascii="Calibri" w:hAnsi="Calibri" w:cs="Calibri"/>
                <w:sz w:val="22"/>
                <w:szCs w:val="22"/>
              </w:rPr>
              <w:t xml:space="preserve"> focal </w:t>
            </w:r>
          </w:p>
          <w:p w:rsidR="0007647A" w:rsidRPr="0007647A" w:rsidRDefault="0007647A" w:rsidP="002C15A9">
            <w:pPr>
              <w:widowControl w:val="0"/>
              <w:numPr>
                <w:ilvl w:val="0"/>
                <w:numId w:val="12"/>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 xml:space="preserve">Histology classical papillary or follicular variant of papillary carcinoma, or follicular carcinoma </w:t>
            </w:r>
          </w:p>
          <w:p w:rsidR="0007647A" w:rsidRPr="0007647A" w:rsidRDefault="0007647A" w:rsidP="002C15A9">
            <w:pPr>
              <w:widowControl w:val="0"/>
              <w:numPr>
                <w:ilvl w:val="0"/>
                <w:numId w:val="12"/>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 xml:space="preserve">Minimally invasive without angioinvasion </w:t>
            </w:r>
          </w:p>
          <w:p w:rsidR="0007647A" w:rsidRPr="0007647A" w:rsidRDefault="0007647A" w:rsidP="002C15A9">
            <w:pPr>
              <w:widowControl w:val="0"/>
              <w:numPr>
                <w:ilvl w:val="0"/>
                <w:numId w:val="12"/>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 xml:space="preserve">No invasion of thyroid capsule (extra thyroidal extension) </w:t>
            </w:r>
          </w:p>
          <w:p w:rsidR="0007647A" w:rsidRPr="0007647A" w:rsidRDefault="00FC7CA2">
            <w:pPr>
              <w:widowControl w:val="0"/>
              <w:autoSpaceDE w:val="0"/>
              <w:autoSpaceDN w:val="0"/>
              <w:adjustRightInd w:val="0"/>
              <w:spacing w:line="280" w:lineRule="atLeast"/>
              <w:rPr>
                <w:rFonts w:ascii="Times" w:hAnsi="Times" w:cs="Times"/>
              </w:rPr>
            </w:pPr>
            <w:r>
              <w:rPr>
                <w:rFonts w:ascii="Times" w:hAnsi="Times" w:cs="Times"/>
                <w:noProof/>
                <w:lang w:val="en-GB" w:eastAsia="en-GB"/>
              </w:rPr>
              <w:drawing>
                <wp:inline distT="0" distB="0" distL="0" distR="0">
                  <wp:extent cx="3810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00" cy="6350"/>
                          </a:xfrm>
                          <a:prstGeom prst="rect">
                            <a:avLst/>
                          </a:prstGeom>
                          <a:noFill/>
                          <a:ln w="9525">
                            <a:noFill/>
                            <a:miter lim="800000"/>
                            <a:headEnd/>
                            <a:tailEnd/>
                          </a:ln>
                        </pic:spPr>
                      </pic:pic>
                    </a:graphicData>
                  </a:graphic>
                </wp:inline>
              </w:drawing>
            </w:r>
            <w:r w:rsidR="0007647A" w:rsidRPr="0007647A">
              <w:rPr>
                <w:rFonts w:ascii="Times" w:hAnsi="Times" w:cs="Times"/>
              </w:rPr>
              <w:t xml:space="preserve"> </w:t>
            </w:r>
          </w:p>
        </w:tc>
      </w:tr>
      <w:tr w:rsidR="0007647A" w:rsidTr="00952C8B">
        <w:tblPrEx>
          <w:tblBorders>
            <w:top w:val="none" w:sz="0" w:space="0" w:color="auto"/>
          </w:tblBorders>
        </w:tblPrEx>
        <w:trPr>
          <w:trHeight w:val="2502"/>
        </w:trPr>
        <w:tc>
          <w:tcPr>
            <w:tcW w:w="9747" w:type="dxa"/>
            <w:tcBorders>
              <w:top w:val="single" w:sz="41" w:space="0" w:color="auto"/>
              <w:left w:val="single" w:sz="2" w:space="0" w:color="auto"/>
              <w:bottom w:val="single" w:sz="40" w:space="0" w:color="auto"/>
              <w:right w:val="single" w:sz="3" w:space="0" w:color="auto"/>
            </w:tcBorders>
            <w:shd w:val="clear" w:color="auto" w:fill="auto"/>
            <w:tcMar>
              <w:top w:w="20" w:type="nil"/>
              <w:left w:w="20" w:type="nil"/>
              <w:bottom w:w="20" w:type="nil"/>
              <w:right w:w="20" w:type="nil"/>
            </w:tcMar>
            <w:vAlign w:val="center"/>
          </w:tcPr>
          <w:p w:rsidR="0007647A" w:rsidRPr="0007647A" w:rsidRDefault="0007647A">
            <w:pPr>
              <w:widowControl w:val="0"/>
              <w:autoSpaceDE w:val="0"/>
              <w:autoSpaceDN w:val="0"/>
              <w:adjustRightInd w:val="0"/>
              <w:spacing w:after="240" w:line="260" w:lineRule="atLeast"/>
              <w:rPr>
                <w:rFonts w:ascii="Times" w:hAnsi="Times" w:cs="Times"/>
              </w:rPr>
            </w:pPr>
            <w:r w:rsidRPr="0007647A">
              <w:rPr>
                <w:rFonts w:ascii="Calibri" w:hAnsi="Calibri" w:cs="Calibri"/>
                <w:b/>
                <w:bCs/>
                <w:sz w:val="22"/>
                <w:szCs w:val="22"/>
              </w:rPr>
              <w:t xml:space="preserve">DEFINITE INDICATIONS </w:t>
            </w:r>
          </w:p>
          <w:p w:rsidR="0007647A" w:rsidRPr="0007647A" w:rsidRDefault="0007647A">
            <w:pPr>
              <w:widowControl w:val="0"/>
              <w:autoSpaceDE w:val="0"/>
              <w:autoSpaceDN w:val="0"/>
              <w:adjustRightInd w:val="0"/>
              <w:spacing w:after="240" w:line="260" w:lineRule="atLeast"/>
              <w:rPr>
                <w:rFonts w:ascii="Times" w:hAnsi="Times" w:cs="Times"/>
              </w:rPr>
            </w:pPr>
            <w:r w:rsidRPr="0007647A">
              <w:rPr>
                <w:rFonts w:ascii="Calibri" w:hAnsi="Calibri" w:cs="Calibri"/>
                <w:i/>
                <w:iCs/>
                <w:sz w:val="22"/>
                <w:szCs w:val="22"/>
              </w:rPr>
              <w:t xml:space="preserve">ANY ONE OF THE CRITERIA BELOW SHOULD BE MET </w:t>
            </w:r>
          </w:p>
          <w:p w:rsidR="0007647A" w:rsidRPr="0007647A" w:rsidRDefault="0007647A">
            <w:pPr>
              <w:widowControl w:val="0"/>
              <w:autoSpaceDE w:val="0"/>
              <w:autoSpaceDN w:val="0"/>
              <w:adjustRightInd w:val="0"/>
              <w:spacing w:after="240" w:line="240" w:lineRule="atLeast"/>
              <w:rPr>
                <w:rFonts w:ascii="Times" w:hAnsi="Times" w:cs="Times"/>
              </w:rPr>
            </w:pPr>
            <w:r w:rsidRPr="0007647A">
              <w:rPr>
                <w:rFonts w:ascii="Arial" w:hAnsi="Arial" w:cs="Arial"/>
                <w:sz w:val="22"/>
                <w:szCs w:val="22"/>
              </w:rPr>
              <w:t xml:space="preserve">• </w:t>
            </w:r>
            <w:r>
              <w:rPr>
                <w:rFonts w:ascii="Arial" w:hAnsi="Arial" w:cs="Arial"/>
                <w:sz w:val="22"/>
                <w:szCs w:val="22"/>
              </w:rPr>
              <w:t xml:space="preserve"> </w:t>
            </w:r>
            <w:r w:rsidRPr="0007647A">
              <w:rPr>
                <w:rFonts w:ascii="Calibri" w:hAnsi="Calibri" w:cs="Calibri"/>
                <w:sz w:val="22"/>
                <w:szCs w:val="22"/>
              </w:rPr>
              <w:t xml:space="preserve">Tumour &gt;4cm </w:t>
            </w:r>
          </w:p>
          <w:p w:rsidR="0007647A" w:rsidRPr="0007647A" w:rsidRDefault="0007647A" w:rsidP="002C15A9">
            <w:pPr>
              <w:widowControl w:val="0"/>
              <w:numPr>
                <w:ilvl w:val="0"/>
                <w:numId w:val="13"/>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 xml:space="preserve">Any tumour size with gross extra thyroidal extension </w:t>
            </w:r>
          </w:p>
          <w:p w:rsidR="0007647A" w:rsidRPr="0007647A" w:rsidRDefault="0007647A" w:rsidP="002C15A9">
            <w:pPr>
              <w:widowControl w:val="0"/>
              <w:numPr>
                <w:ilvl w:val="0"/>
                <w:numId w:val="13"/>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 xml:space="preserve">Distant metastases present </w:t>
            </w:r>
          </w:p>
        </w:tc>
      </w:tr>
      <w:tr w:rsidR="0007647A" w:rsidTr="00952C8B">
        <w:trPr>
          <w:trHeight w:val="145"/>
        </w:trPr>
        <w:tc>
          <w:tcPr>
            <w:tcW w:w="9747" w:type="dxa"/>
            <w:tcBorders>
              <w:top w:val="single" w:sz="40" w:space="0" w:color="auto"/>
              <w:left w:val="single" w:sz="2" w:space="0" w:color="auto"/>
              <w:bottom w:val="single" w:sz="3" w:space="0" w:color="auto"/>
              <w:right w:val="single" w:sz="3" w:space="0" w:color="auto"/>
            </w:tcBorders>
            <w:shd w:val="clear" w:color="auto" w:fill="auto"/>
            <w:tcMar>
              <w:top w:w="20" w:type="nil"/>
              <w:left w:w="20" w:type="nil"/>
              <w:bottom w:w="20" w:type="nil"/>
              <w:right w:w="20" w:type="nil"/>
            </w:tcMar>
            <w:vAlign w:val="center"/>
          </w:tcPr>
          <w:p w:rsidR="0007647A" w:rsidRPr="0007647A" w:rsidRDefault="0007647A">
            <w:pPr>
              <w:widowControl w:val="0"/>
              <w:autoSpaceDE w:val="0"/>
              <w:autoSpaceDN w:val="0"/>
              <w:adjustRightInd w:val="0"/>
              <w:spacing w:after="240" w:line="260" w:lineRule="atLeast"/>
              <w:rPr>
                <w:rFonts w:ascii="Times" w:hAnsi="Times" w:cs="Times"/>
              </w:rPr>
            </w:pPr>
            <w:r w:rsidRPr="0007647A">
              <w:rPr>
                <w:rFonts w:ascii="Calibri" w:hAnsi="Calibri" w:cs="Calibri"/>
                <w:b/>
                <w:bCs/>
                <w:sz w:val="22"/>
                <w:szCs w:val="22"/>
              </w:rPr>
              <w:t xml:space="preserve">UNCERTAIN INDICATIONS </w:t>
            </w:r>
          </w:p>
          <w:p w:rsidR="0007647A" w:rsidRPr="0007647A" w:rsidRDefault="0007647A">
            <w:pPr>
              <w:widowControl w:val="0"/>
              <w:autoSpaceDE w:val="0"/>
              <w:autoSpaceDN w:val="0"/>
              <w:adjustRightInd w:val="0"/>
              <w:spacing w:after="240" w:line="260" w:lineRule="atLeast"/>
              <w:rPr>
                <w:rFonts w:ascii="Times" w:hAnsi="Times" w:cs="Times"/>
              </w:rPr>
            </w:pPr>
            <w:r w:rsidRPr="0007647A">
              <w:rPr>
                <w:rFonts w:ascii="Calibri" w:hAnsi="Calibri" w:cs="Calibri"/>
                <w:i/>
                <w:iCs/>
                <w:sz w:val="22"/>
                <w:szCs w:val="22"/>
              </w:rPr>
              <w:t xml:space="preserve">ALL OTHER CASES </w:t>
            </w:r>
          </w:p>
          <w:p w:rsidR="0007647A" w:rsidRPr="0007647A" w:rsidRDefault="0007647A">
            <w:pPr>
              <w:widowControl w:val="0"/>
              <w:autoSpaceDE w:val="0"/>
              <w:autoSpaceDN w:val="0"/>
              <w:adjustRightInd w:val="0"/>
              <w:spacing w:after="240" w:line="260" w:lineRule="atLeast"/>
              <w:rPr>
                <w:rFonts w:ascii="Times" w:hAnsi="Times" w:cs="Times"/>
              </w:rPr>
            </w:pPr>
            <w:r w:rsidRPr="0007647A">
              <w:rPr>
                <w:rFonts w:ascii="Calibri" w:hAnsi="Calibri" w:cs="Calibri"/>
                <w:sz w:val="22"/>
                <w:szCs w:val="22"/>
              </w:rPr>
              <w:t xml:space="preserve">One or more of the </w:t>
            </w:r>
            <w:r>
              <w:rPr>
                <w:rFonts w:ascii="Calibri" w:hAnsi="Calibri" w:cs="Calibri"/>
                <w:sz w:val="22"/>
                <w:szCs w:val="22"/>
              </w:rPr>
              <w:t>following risk factors may identify pati</w:t>
            </w:r>
            <w:r w:rsidRPr="0007647A">
              <w:rPr>
                <w:rFonts w:ascii="Calibri" w:hAnsi="Calibri" w:cs="Calibri"/>
                <w:sz w:val="22"/>
                <w:szCs w:val="22"/>
              </w:rPr>
              <w:t>ents at higher risk of recurrence who may benefit from R</w:t>
            </w:r>
            <w:r w:rsidR="00F32BA1">
              <w:rPr>
                <w:rFonts w:ascii="Calibri" w:hAnsi="Calibri" w:cs="Calibri"/>
                <w:sz w:val="22"/>
                <w:szCs w:val="22"/>
              </w:rPr>
              <w:t>IA</w:t>
            </w:r>
            <w:r w:rsidRPr="0007647A">
              <w:rPr>
                <w:rFonts w:ascii="Calibri" w:hAnsi="Calibri" w:cs="Calibri"/>
                <w:sz w:val="22"/>
                <w:szCs w:val="22"/>
              </w:rPr>
              <w:t xml:space="preserve"> </w:t>
            </w:r>
          </w:p>
          <w:p w:rsidR="0007647A" w:rsidRPr="0007647A" w:rsidRDefault="0007647A" w:rsidP="002C15A9">
            <w:pPr>
              <w:widowControl w:val="0"/>
              <w:numPr>
                <w:ilvl w:val="0"/>
                <w:numId w:val="14"/>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 xml:space="preserve">Large tumour size </w:t>
            </w:r>
          </w:p>
          <w:p w:rsidR="0007647A" w:rsidRPr="0007647A" w:rsidRDefault="0007647A" w:rsidP="002C15A9">
            <w:pPr>
              <w:widowControl w:val="0"/>
              <w:numPr>
                <w:ilvl w:val="0"/>
                <w:numId w:val="14"/>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 xml:space="preserve">Extra-thyroidal extension </w:t>
            </w:r>
          </w:p>
          <w:p w:rsidR="0007647A" w:rsidRPr="0007647A" w:rsidRDefault="0007647A" w:rsidP="002C15A9">
            <w:pPr>
              <w:widowControl w:val="0"/>
              <w:numPr>
                <w:ilvl w:val="0"/>
                <w:numId w:val="14"/>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Unfavourable cell type (tall cell, columnar or diffuse sclerosing pa</w:t>
            </w:r>
            <w:r>
              <w:rPr>
                <w:rFonts w:ascii="Calibri" w:hAnsi="Calibri" w:cs="Calibri"/>
                <w:sz w:val="22"/>
                <w:szCs w:val="22"/>
              </w:rPr>
              <w:t>pillary cancer, poorly differenti</w:t>
            </w:r>
            <w:r w:rsidRPr="0007647A">
              <w:rPr>
                <w:rFonts w:ascii="Calibri" w:hAnsi="Calibri" w:cs="Calibri"/>
                <w:sz w:val="22"/>
                <w:szCs w:val="22"/>
              </w:rPr>
              <w:t xml:space="preserve">ated elements) </w:t>
            </w:r>
          </w:p>
          <w:p w:rsidR="0007647A" w:rsidRPr="0007647A" w:rsidRDefault="0007647A" w:rsidP="002C15A9">
            <w:pPr>
              <w:widowControl w:val="0"/>
              <w:numPr>
                <w:ilvl w:val="0"/>
                <w:numId w:val="14"/>
              </w:numPr>
              <w:tabs>
                <w:tab w:val="left" w:pos="220"/>
                <w:tab w:val="left" w:pos="720"/>
              </w:tabs>
              <w:autoSpaceDE w:val="0"/>
              <w:autoSpaceDN w:val="0"/>
              <w:adjustRightInd w:val="0"/>
              <w:spacing w:after="213" w:line="260" w:lineRule="atLeast"/>
              <w:ind w:hanging="720"/>
              <w:rPr>
                <w:rFonts w:ascii="Arial" w:hAnsi="Arial" w:cs="Arial"/>
                <w:sz w:val="22"/>
                <w:szCs w:val="22"/>
              </w:rPr>
            </w:pPr>
            <w:r w:rsidRPr="0007647A">
              <w:rPr>
                <w:rFonts w:ascii="Calibri" w:hAnsi="Calibri" w:cs="Calibri"/>
                <w:sz w:val="22"/>
                <w:szCs w:val="22"/>
              </w:rPr>
              <w:t xml:space="preserve">Widely invasive histology </w:t>
            </w:r>
          </w:p>
          <w:p w:rsidR="0007647A" w:rsidRPr="0007647A" w:rsidRDefault="0007647A" w:rsidP="002C15A9">
            <w:pPr>
              <w:widowControl w:val="0"/>
              <w:numPr>
                <w:ilvl w:val="0"/>
                <w:numId w:val="14"/>
              </w:numPr>
              <w:tabs>
                <w:tab w:val="left" w:pos="220"/>
                <w:tab w:val="left" w:pos="720"/>
              </w:tabs>
              <w:autoSpaceDE w:val="0"/>
              <w:autoSpaceDN w:val="0"/>
              <w:adjustRightInd w:val="0"/>
              <w:spacing w:after="213" w:line="260" w:lineRule="atLeast"/>
              <w:ind w:hanging="720"/>
              <w:rPr>
                <w:rFonts w:ascii="Arial" w:hAnsi="Arial" w:cs="Arial"/>
                <w:sz w:val="22"/>
                <w:szCs w:val="22"/>
              </w:rPr>
            </w:pPr>
            <w:r>
              <w:rPr>
                <w:rFonts w:ascii="Calibri" w:hAnsi="Calibri" w:cs="Calibri"/>
                <w:sz w:val="22"/>
                <w:szCs w:val="22"/>
              </w:rPr>
              <w:t>Multi</w:t>
            </w:r>
            <w:r w:rsidRPr="0007647A">
              <w:rPr>
                <w:rFonts w:ascii="Calibri" w:hAnsi="Calibri" w:cs="Calibri"/>
                <w:sz w:val="22"/>
                <w:szCs w:val="22"/>
              </w:rPr>
              <w:t xml:space="preserve">ple lymph node involvement, large size of involved lymph </w:t>
            </w:r>
            <w:r>
              <w:rPr>
                <w:rFonts w:ascii="Calibri" w:hAnsi="Calibri" w:cs="Calibri"/>
                <w:sz w:val="22"/>
                <w:szCs w:val="22"/>
              </w:rPr>
              <w:t xml:space="preserve">nodes, high ratio of positive to negative nodes, </w:t>
            </w:r>
            <w:r w:rsidRPr="0007647A">
              <w:rPr>
                <w:rFonts w:ascii="Calibri" w:hAnsi="Calibri" w:cs="Calibri"/>
                <w:sz w:val="22"/>
                <w:szCs w:val="22"/>
              </w:rPr>
              <w:t xml:space="preserve">extracapsular nodal involvement. </w:t>
            </w:r>
          </w:p>
        </w:tc>
      </w:tr>
    </w:tbl>
    <w:p w:rsidR="0007647A" w:rsidRDefault="0007647A" w:rsidP="003736E5">
      <w:pPr>
        <w:autoSpaceDE w:val="0"/>
        <w:autoSpaceDN w:val="0"/>
        <w:adjustRightInd w:val="0"/>
        <w:rPr>
          <w:rFonts w:ascii="Verdana" w:hAnsi="Verdana"/>
          <w:sz w:val="20"/>
          <w:szCs w:val="20"/>
        </w:rPr>
      </w:pPr>
    </w:p>
    <w:p w:rsidR="0007647A" w:rsidRDefault="0007647A" w:rsidP="003736E5">
      <w:pPr>
        <w:autoSpaceDE w:val="0"/>
        <w:autoSpaceDN w:val="0"/>
        <w:adjustRightInd w:val="0"/>
        <w:rPr>
          <w:rFonts w:ascii="Verdana" w:hAnsi="Verdana"/>
          <w:sz w:val="20"/>
          <w:szCs w:val="20"/>
        </w:rPr>
      </w:pPr>
    </w:p>
    <w:p w:rsidR="0024756F" w:rsidRPr="00B53674" w:rsidRDefault="0024756F" w:rsidP="0024756F">
      <w:pPr>
        <w:widowControl w:val="0"/>
        <w:tabs>
          <w:tab w:val="left" w:pos="220"/>
          <w:tab w:val="left" w:pos="720"/>
        </w:tabs>
        <w:autoSpaceDE w:val="0"/>
        <w:autoSpaceDN w:val="0"/>
        <w:adjustRightInd w:val="0"/>
        <w:spacing w:after="240" w:line="260" w:lineRule="atLeast"/>
        <w:rPr>
          <w:rFonts w:ascii="Verdana" w:hAnsi="Verdana" w:cs="Times"/>
          <w:sz w:val="20"/>
          <w:szCs w:val="20"/>
        </w:rPr>
      </w:pPr>
      <w:r w:rsidRPr="003736E5">
        <w:rPr>
          <w:rFonts w:ascii="Verdana" w:hAnsi="Verdana"/>
          <w:sz w:val="20"/>
          <w:szCs w:val="20"/>
        </w:rPr>
        <w:t>The prognosis for differentiated carcinoma is better for patients younger than 40 years without extracapsular extension or vascular invasion. Age is the single most important prognostic factor.  Adverse factors include</w:t>
      </w:r>
      <w:r>
        <w:rPr>
          <w:rFonts w:ascii="Verdana" w:hAnsi="Verdana"/>
          <w:sz w:val="20"/>
          <w:szCs w:val="20"/>
        </w:rPr>
        <w:t>:</w:t>
      </w:r>
      <w:r w:rsidRPr="003736E5">
        <w:rPr>
          <w:rFonts w:ascii="Verdana" w:hAnsi="Verdana"/>
          <w:sz w:val="20"/>
          <w:szCs w:val="20"/>
        </w:rPr>
        <w:t xml:space="preserve"> age older than 45 years, follicular histology, primary tumo</w:t>
      </w:r>
      <w:r>
        <w:rPr>
          <w:rFonts w:ascii="Verdana" w:hAnsi="Verdana"/>
          <w:sz w:val="20"/>
          <w:szCs w:val="20"/>
        </w:rPr>
        <w:t>u</w:t>
      </w:r>
      <w:r w:rsidRPr="003736E5">
        <w:rPr>
          <w:rFonts w:ascii="Verdana" w:hAnsi="Verdana"/>
          <w:sz w:val="20"/>
          <w:szCs w:val="20"/>
        </w:rPr>
        <w:t xml:space="preserve">r </w:t>
      </w:r>
      <w:r w:rsidRPr="003736E5">
        <w:rPr>
          <w:rFonts w:ascii="Verdana" w:hAnsi="Verdana"/>
          <w:sz w:val="20"/>
          <w:szCs w:val="20"/>
        </w:rPr>
        <w:lastRenderedPageBreak/>
        <w:t xml:space="preserve">larger than 4 cm (T3), </w:t>
      </w:r>
      <w:r>
        <w:rPr>
          <w:rFonts w:ascii="Verdana" w:hAnsi="Verdana"/>
          <w:sz w:val="20"/>
          <w:szCs w:val="20"/>
        </w:rPr>
        <w:t xml:space="preserve">significant </w:t>
      </w:r>
      <w:r w:rsidRPr="003736E5">
        <w:rPr>
          <w:rFonts w:ascii="Verdana" w:hAnsi="Verdana"/>
          <w:sz w:val="20"/>
          <w:szCs w:val="20"/>
        </w:rPr>
        <w:t>extrathyroid extension (T4</w:t>
      </w:r>
      <w:r>
        <w:rPr>
          <w:rFonts w:ascii="Verdana" w:hAnsi="Verdana"/>
          <w:sz w:val="20"/>
          <w:szCs w:val="20"/>
        </w:rPr>
        <w:t xml:space="preserve">: extension into </w:t>
      </w:r>
      <w:r w:rsidRPr="00580B70">
        <w:rPr>
          <w:rFonts w:ascii="Verdana" w:hAnsi="Verdana" w:cs="Times"/>
          <w:sz w:val="20"/>
          <w:szCs w:val="20"/>
        </w:rPr>
        <w:t>subcutaneous soft tissues, larynx, trachea, oesophagus</w:t>
      </w:r>
      <w:r>
        <w:rPr>
          <w:rFonts w:ascii="Verdana" w:hAnsi="Verdana" w:cs="Times"/>
          <w:sz w:val="20"/>
          <w:szCs w:val="20"/>
        </w:rPr>
        <w:t>, or recurrent laryngeal nerve</w:t>
      </w:r>
      <w:r>
        <w:rPr>
          <w:rFonts w:ascii="Verdana" w:hAnsi="Verdana"/>
          <w:sz w:val="20"/>
          <w:szCs w:val="20"/>
        </w:rPr>
        <w:t>)</w:t>
      </w:r>
      <w:r w:rsidRPr="00930D4D">
        <w:rPr>
          <w:rFonts w:ascii="Verdana" w:hAnsi="Verdana"/>
          <w:sz w:val="20"/>
          <w:szCs w:val="20"/>
        </w:rPr>
        <w:t xml:space="preserve"> and distant metastases.</w:t>
      </w:r>
    </w:p>
    <w:p w:rsidR="0024756F" w:rsidRDefault="0024756F" w:rsidP="0024756F">
      <w:pPr>
        <w:autoSpaceDE w:val="0"/>
        <w:autoSpaceDN w:val="0"/>
        <w:adjustRightInd w:val="0"/>
        <w:rPr>
          <w:rFonts w:ascii="Verdana" w:hAnsi="Verdana"/>
          <w:sz w:val="20"/>
          <w:szCs w:val="20"/>
        </w:rPr>
      </w:pPr>
      <w:r>
        <w:rPr>
          <w:rFonts w:ascii="Verdana" w:hAnsi="Verdana"/>
          <w:sz w:val="20"/>
          <w:szCs w:val="20"/>
        </w:rPr>
        <w:t xml:space="preserve">The MDT generally favours ablative RAI for patients with definite and uncertain indications. 3,700MBq is </w:t>
      </w:r>
      <w:r w:rsidR="009A0473">
        <w:rPr>
          <w:rFonts w:ascii="Verdana" w:hAnsi="Verdana"/>
          <w:sz w:val="20"/>
          <w:szCs w:val="20"/>
        </w:rPr>
        <w:t xml:space="preserve">generally </w:t>
      </w:r>
      <w:r>
        <w:rPr>
          <w:rFonts w:ascii="Verdana" w:hAnsi="Verdana"/>
          <w:sz w:val="20"/>
          <w:szCs w:val="20"/>
        </w:rPr>
        <w:t xml:space="preserve">given for patients with higher risk tumours, i.e. pT3 (unless primary small and minimal extra-thyroidal extension), pT4, </w:t>
      </w:r>
      <w:r w:rsidR="009A0473">
        <w:rPr>
          <w:rFonts w:ascii="Verdana" w:hAnsi="Verdana"/>
          <w:sz w:val="20"/>
          <w:szCs w:val="20"/>
        </w:rPr>
        <w:t xml:space="preserve">N1b, N1a with extra-nodal spread, </w:t>
      </w:r>
      <w:r>
        <w:rPr>
          <w:rFonts w:ascii="Verdana" w:hAnsi="Verdana"/>
          <w:sz w:val="20"/>
          <w:szCs w:val="20"/>
        </w:rPr>
        <w:t>M1</w:t>
      </w:r>
      <w:r w:rsidR="009A0473">
        <w:rPr>
          <w:rFonts w:ascii="Verdana" w:hAnsi="Verdana"/>
          <w:sz w:val="20"/>
          <w:szCs w:val="20"/>
        </w:rPr>
        <w:t>, R1/R2</w:t>
      </w:r>
      <w:r>
        <w:rPr>
          <w:rFonts w:ascii="Verdana" w:hAnsi="Verdana"/>
          <w:sz w:val="20"/>
          <w:szCs w:val="20"/>
        </w:rPr>
        <w:t xml:space="preserve"> and high risk histological types, e.g. tall cell variant or components of poorer differentiation. 1,100MBq is given for all other patients. </w:t>
      </w:r>
    </w:p>
    <w:p w:rsidR="00EB5E32" w:rsidRDefault="00EB5E32" w:rsidP="003736E5">
      <w:pPr>
        <w:autoSpaceDE w:val="0"/>
        <w:autoSpaceDN w:val="0"/>
        <w:adjustRightInd w:val="0"/>
        <w:rPr>
          <w:rFonts w:ascii="Verdana" w:hAnsi="Verdana"/>
          <w:sz w:val="20"/>
          <w:szCs w:val="20"/>
        </w:rPr>
      </w:pPr>
    </w:p>
    <w:p w:rsidR="00A16EFD" w:rsidRDefault="00EB5E32" w:rsidP="003736E5">
      <w:pPr>
        <w:autoSpaceDE w:val="0"/>
        <w:autoSpaceDN w:val="0"/>
        <w:adjustRightInd w:val="0"/>
        <w:rPr>
          <w:rFonts w:ascii="Verdana" w:hAnsi="Verdana"/>
          <w:sz w:val="20"/>
          <w:szCs w:val="20"/>
        </w:rPr>
      </w:pPr>
      <w:r>
        <w:rPr>
          <w:rFonts w:ascii="Verdana" w:hAnsi="Verdana"/>
          <w:sz w:val="20"/>
          <w:szCs w:val="20"/>
        </w:rPr>
        <w:t xml:space="preserve">RAI is administered by Medical Physics at the WGH and patients will need to remain in isolation in the Oncology Assessment Area after treatment. The duration of isolation is variable and depends on the dose of RAI given, the patient’s renal function and the extent of any residual malignancy. In general, most patient’s receiving 1,100 MBq will get home after 24 hours while most patients receiving 3,700 will get home after 48 hours. Radiation restrictions will remain in place following discharge for a variable time, again depending on the above factors. All patients must be counseled in detail about the restrictions that are in place following RAI. Specific written guidance for patients is available </w:t>
      </w:r>
      <w:r w:rsidR="009D210E">
        <w:rPr>
          <w:rFonts w:ascii="Verdana" w:hAnsi="Verdana"/>
          <w:sz w:val="20"/>
          <w:szCs w:val="20"/>
        </w:rPr>
        <w:t xml:space="preserve">on </w:t>
      </w:r>
      <w:r>
        <w:rPr>
          <w:rFonts w:ascii="Verdana" w:hAnsi="Verdana"/>
          <w:sz w:val="20"/>
          <w:szCs w:val="20"/>
        </w:rPr>
        <w:t xml:space="preserve">the </w:t>
      </w:r>
      <w:r w:rsidR="009D210E">
        <w:rPr>
          <w:rFonts w:ascii="Verdana" w:hAnsi="Verdana"/>
          <w:sz w:val="20"/>
          <w:szCs w:val="20"/>
        </w:rPr>
        <w:t>ECED website</w:t>
      </w:r>
      <w:r>
        <w:rPr>
          <w:rFonts w:ascii="Verdana" w:hAnsi="Verdana"/>
          <w:sz w:val="20"/>
          <w:szCs w:val="20"/>
        </w:rPr>
        <w:t xml:space="preserve">. </w:t>
      </w:r>
    </w:p>
    <w:p w:rsidR="00A16EFD" w:rsidRDefault="00A16EFD" w:rsidP="003736E5">
      <w:pPr>
        <w:autoSpaceDE w:val="0"/>
        <w:autoSpaceDN w:val="0"/>
        <w:adjustRightInd w:val="0"/>
        <w:rPr>
          <w:rFonts w:ascii="Verdana" w:hAnsi="Verdana"/>
          <w:sz w:val="20"/>
          <w:szCs w:val="20"/>
        </w:rPr>
      </w:pPr>
    </w:p>
    <w:p w:rsidR="00EB5E32" w:rsidRDefault="00783A0A" w:rsidP="003736E5">
      <w:pPr>
        <w:autoSpaceDE w:val="0"/>
        <w:autoSpaceDN w:val="0"/>
        <w:adjustRightInd w:val="0"/>
        <w:rPr>
          <w:rFonts w:ascii="Verdana" w:hAnsi="Verdana"/>
          <w:sz w:val="20"/>
          <w:szCs w:val="20"/>
        </w:rPr>
      </w:pPr>
      <w:r>
        <w:rPr>
          <w:rFonts w:ascii="Verdana" w:hAnsi="Verdana"/>
          <w:sz w:val="20"/>
          <w:szCs w:val="20"/>
        </w:rPr>
        <w:t>Pregnancy and breast feeding are absolute contraindications to RAI.</w:t>
      </w:r>
    </w:p>
    <w:p w:rsidR="00EB5E32" w:rsidRDefault="00EB5E32" w:rsidP="003736E5">
      <w:pPr>
        <w:autoSpaceDE w:val="0"/>
        <w:autoSpaceDN w:val="0"/>
        <w:adjustRightInd w:val="0"/>
        <w:rPr>
          <w:rFonts w:ascii="Verdana" w:hAnsi="Verdana"/>
          <w:sz w:val="20"/>
          <w:szCs w:val="20"/>
        </w:rPr>
      </w:pPr>
    </w:p>
    <w:p w:rsidR="00EB5E32" w:rsidRDefault="00EB5E32" w:rsidP="003736E5">
      <w:pPr>
        <w:autoSpaceDE w:val="0"/>
        <w:autoSpaceDN w:val="0"/>
        <w:adjustRightInd w:val="0"/>
        <w:rPr>
          <w:rFonts w:ascii="Verdana" w:hAnsi="Verdana"/>
          <w:sz w:val="20"/>
          <w:szCs w:val="20"/>
        </w:rPr>
      </w:pPr>
      <w:r>
        <w:rPr>
          <w:rFonts w:ascii="Verdana" w:hAnsi="Verdana"/>
          <w:sz w:val="20"/>
          <w:szCs w:val="20"/>
        </w:rPr>
        <w:t xml:space="preserve">Patients may be prepared for RAI with Levothyroxine withdrawal or Thyrogen stimulation. The latter is favoured by the SES MDT and there are specific ECE protocols in the ‘Metabolic Unit Handbook’ </w:t>
      </w:r>
      <w:r w:rsidR="00952C8B">
        <w:rPr>
          <w:rFonts w:ascii="Verdana" w:hAnsi="Verdana"/>
          <w:sz w:val="20"/>
          <w:szCs w:val="20"/>
        </w:rPr>
        <w:t xml:space="preserve">on the intranet and the ECED website </w:t>
      </w:r>
      <w:r>
        <w:rPr>
          <w:rFonts w:ascii="Verdana" w:hAnsi="Verdana"/>
          <w:sz w:val="20"/>
          <w:szCs w:val="20"/>
        </w:rPr>
        <w:t xml:space="preserve">which deal with both scenarios. It is important that the patient is assessed for their physical and mental suitability for RAI. Patients with co-morbidities must be carefully considered as to their suitability for being in the isolation room. If there is any doubt as to their suitability, it is better to defer therapy than have a patient become unwell or distressed in the isolation room, as that will potentially pose a radiation hazard to medical and nursing staff. </w:t>
      </w:r>
      <w:r w:rsidR="00276ED7">
        <w:rPr>
          <w:rFonts w:ascii="Verdana" w:hAnsi="Verdana"/>
          <w:sz w:val="20"/>
          <w:szCs w:val="20"/>
        </w:rPr>
        <w:t>Renal function should be checked in all patients with CKD or aged over 65 years prior to RAI therapy, to help Medical Physics staff plan the likely duration of admission.</w:t>
      </w:r>
    </w:p>
    <w:p w:rsidR="00D70159" w:rsidRPr="00B821F3" w:rsidRDefault="00D70159" w:rsidP="00D70159">
      <w:pPr>
        <w:autoSpaceDE w:val="0"/>
        <w:autoSpaceDN w:val="0"/>
        <w:adjustRightInd w:val="0"/>
        <w:rPr>
          <w:rFonts w:ascii="Verdana" w:eastAsia="MS Mincho" w:hAnsi="Verdana" w:cs="AdvPS94BA"/>
          <w:sz w:val="20"/>
          <w:szCs w:val="20"/>
          <w:lang w:val="en-GB" w:eastAsia="ja-JP"/>
        </w:rPr>
      </w:pPr>
    </w:p>
    <w:p w:rsidR="00D70159" w:rsidRPr="008D200C" w:rsidRDefault="0007647A" w:rsidP="00D70159">
      <w:pPr>
        <w:autoSpaceDE w:val="0"/>
        <w:autoSpaceDN w:val="0"/>
        <w:adjustRightInd w:val="0"/>
        <w:rPr>
          <w:rFonts w:ascii="Verdana" w:eastAsia="MS Mincho" w:hAnsi="Verdana" w:cs="AdvPS94BA"/>
          <w:sz w:val="20"/>
          <w:szCs w:val="20"/>
          <w:u w:val="single"/>
          <w:lang w:val="en-GB" w:eastAsia="ja-JP"/>
        </w:rPr>
      </w:pPr>
      <w:r>
        <w:rPr>
          <w:rFonts w:ascii="Verdana" w:eastAsia="MS Mincho" w:hAnsi="Verdana" w:cs="AdvPS94BA"/>
          <w:sz w:val="20"/>
          <w:szCs w:val="20"/>
          <w:u w:val="single"/>
          <w:lang w:val="en-GB" w:eastAsia="ja-JP"/>
        </w:rPr>
        <w:t>Therapeutic</w:t>
      </w:r>
    </w:p>
    <w:p w:rsidR="00D70159" w:rsidRDefault="00D70159" w:rsidP="00D70159">
      <w:pPr>
        <w:autoSpaceDE w:val="0"/>
        <w:autoSpaceDN w:val="0"/>
        <w:adjustRightInd w:val="0"/>
        <w:rPr>
          <w:rFonts w:ascii="Verdana" w:eastAsia="MS Mincho" w:hAnsi="Verdana" w:cs="AdvPS94BA"/>
          <w:sz w:val="20"/>
          <w:szCs w:val="20"/>
          <w:lang w:val="en-GB" w:eastAsia="ja-JP"/>
        </w:rPr>
      </w:pPr>
      <w:r w:rsidRPr="00B821F3">
        <w:rPr>
          <w:rFonts w:ascii="Verdana" w:eastAsia="MS Mincho" w:hAnsi="Verdana" w:cs="AdvPS94BA"/>
          <w:sz w:val="20"/>
          <w:szCs w:val="20"/>
          <w:lang w:val="en-GB" w:eastAsia="ja-JP"/>
        </w:rPr>
        <w:t xml:space="preserve">Patients with evidence of persistent disease, or with detectable levels of serum Tg increasing with time </w:t>
      </w:r>
      <w:r w:rsidR="00783A0A">
        <w:rPr>
          <w:rFonts w:ascii="Verdana" w:eastAsia="MS Mincho" w:hAnsi="Verdana" w:cs="AdvPS94BA"/>
          <w:sz w:val="20"/>
          <w:szCs w:val="20"/>
          <w:lang w:val="en-GB" w:eastAsia="ja-JP"/>
        </w:rPr>
        <w:t xml:space="preserve">may be considered for further RAI therapy. Activities given are generally higher, e.g. 6000MBq and so the duration of admission and the restrictions are in place for longer. If there is evidence of benefit of therapy (reducing or stable tumour bulk and or reducing or stable thyroglobulin levels) and evidence of RAI uptake by the tumour deposits, further therapeuatic doses may be given. The minimum interval between treatments is generally 6 months. There is no upper limit for the cumulative amount of RAI that may be given, but it is rare to exceed 30,000 MBq. </w:t>
      </w:r>
      <w:r w:rsidR="009D210E">
        <w:rPr>
          <w:rFonts w:ascii="Verdana" w:eastAsia="MS Mincho" w:hAnsi="Verdana" w:cs="AdvPS94BA"/>
          <w:sz w:val="20"/>
          <w:szCs w:val="20"/>
          <w:lang w:val="en-GB" w:eastAsia="ja-JP"/>
        </w:rPr>
        <w:t>There is a suggestion from older literature that very high cumulative exposures are associated with an increased risk of leukaemia.</w:t>
      </w:r>
    </w:p>
    <w:p w:rsidR="00783A0A" w:rsidRDefault="00783A0A" w:rsidP="00D70159">
      <w:pPr>
        <w:autoSpaceDE w:val="0"/>
        <w:autoSpaceDN w:val="0"/>
        <w:adjustRightInd w:val="0"/>
        <w:rPr>
          <w:rFonts w:ascii="Verdana" w:eastAsia="MS Mincho" w:hAnsi="Verdana" w:cs="AdvPS94BA"/>
          <w:sz w:val="20"/>
          <w:szCs w:val="20"/>
          <w:lang w:val="en-GB" w:eastAsia="ja-JP"/>
        </w:rPr>
      </w:pPr>
    </w:p>
    <w:p w:rsidR="00783A0A" w:rsidRPr="00B821F3" w:rsidRDefault="00783A0A" w:rsidP="00D70159">
      <w:pPr>
        <w:autoSpaceDE w:val="0"/>
        <w:autoSpaceDN w:val="0"/>
        <w:adjustRightInd w:val="0"/>
        <w:rPr>
          <w:rFonts w:ascii="Verdana" w:eastAsia="MS Mincho" w:hAnsi="Verdana" w:cs="AdvPS94BA"/>
          <w:sz w:val="20"/>
          <w:szCs w:val="20"/>
          <w:lang w:val="en-GB" w:eastAsia="ja-JP"/>
        </w:rPr>
      </w:pPr>
      <w:r>
        <w:rPr>
          <w:rFonts w:ascii="Verdana" w:eastAsia="MS Mincho" w:hAnsi="Verdana" w:cs="AdvPS94BA"/>
          <w:sz w:val="20"/>
          <w:szCs w:val="20"/>
          <w:lang w:val="en-GB" w:eastAsia="ja-JP"/>
        </w:rPr>
        <w:t>Ablative doses of RAI are not associated with major toxicity. There may be some uptake in salivary g</w:t>
      </w:r>
      <w:r w:rsidR="0024756F">
        <w:rPr>
          <w:rFonts w:ascii="Verdana" w:eastAsia="MS Mincho" w:hAnsi="Verdana" w:cs="AdvPS94BA"/>
          <w:sz w:val="20"/>
          <w:szCs w:val="20"/>
          <w:lang w:val="en-GB" w:eastAsia="ja-JP"/>
        </w:rPr>
        <w:t>l</w:t>
      </w:r>
      <w:r>
        <w:rPr>
          <w:rFonts w:ascii="Verdana" w:eastAsia="MS Mincho" w:hAnsi="Verdana" w:cs="AdvPS94BA"/>
          <w:sz w:val="20"/>
          <w:szCs w:val="20"/>
          <w:lang w:val="en-GB" w:eastAsia="ja-JP"/>
        </w:rPr>
        <w:t xml:space="preserve">ands which can lead to a transient dry mouth. There is probably a small increase in the risk of second malignancies. Higher cumulative doses of RAI are associated with xerostomia and salivary duct stones.  </w:t>
      </w:r>
      <w:r w:rsidR="009D210E">
        <w:rPr>
          <w:rFonts w:ascii="Verdana" w:eastAsia="MS Mincho" w:hAnsi="Verdana" w:cs="AdvPS94BA"/>
          <w:sz w:val="20"/>
          <w:szCs w:val="20"/>
          <w:lang w:val="en-GB" w:eastAsia="ja-JP"/>
        </w:rPr>
        <w:t xml:space="preserve">Patients </w:t>
      </w:r>
      <w:r>
        <w:rPr>
          <w:rFonts w:ascii="Verdana" w:eastAsia="MS Mincho" w:hAnsi="Verdana" w:cs="AdvPS94BA"/>
          <w:sz w:val="20"/>
          <w:szCs w:val="20"/>
          <w:lang w:val="en-GB" w:eastAsia="ja-JP"/>
        </w:rPr>
        <w:t>with pulmonary metastases are at risk of pulmonary fibrosis</w:t>
      </w:r>
      <w:r w:rsidR="009D210E">
        <w:rPr>
          <w:rFonts w:ascii="Verdana" w:eastAsia="MS Mincho" w:hAnsi="Verdana" w:cs="AdvPS94BA"/>
          <w:sz w:val="20"/>
          <w:szCs w:val="20"/>
          <w:lang w:val="en-GB" w:eastAsia="ja-JP"/>
        </w:rPr>
        <w:t>, and so where metastases are extensive a reduced dose of RAI may be considered.</w:t>
      </w:r>
    </w:p>
    <w:p w:rsidR="00D70159" w:rsidRDefault="00D70159" w:rsidP="00D70159">
      <w:pPr>
        <w:autoSpaceDE w:val="0"/>
        <w:autoSpaceDN w:val="0"/>
        <w:adjustRightInd w:val="0"/>
        <w:rPr>
          <w:rFonts w:ascii="AdvPS94BA" w:eastAsia="MS Mincho" w:hAnsi="AdvPS94BA" w:cs="AdvPS94BA"/>
          <w:sz w:val="19"/>
          <w:szCs w:val="19"/>
          <w:lang w:val="en-GB" w:eastAsia="ja-JP"/>
        </w:rPr>
      </w:pPr>
    </w:p>
    <w:p w:rsidR="00D70159" w:rsidRPr="00CE3BDE" w:rsidRDefault="00D70159" w:rsidP="00D70159">
      <w:pPr>
        <w:autoSpaceDE w:val="0"/>
        <w:autoSpaceDN w:val="0"/>
        <w:adjustRightInd w:val="0"/>
        <w:rPr>
          <w:rFonts w:ascii="Verdana" w:eastAsia="MS Mincho" w:hAnsi="Verdana" w:cs="AdvPS94BA"/>
          <w:sz w:val="20"/>
          <w:szCs w:val="20"/>
          <w:u w:val="single"/>
          <w:lang w:val="en-GB" w:eastAsia="ja-JP"/>
        </w:rPr>
      </w:pPr>
      <w:r w:rsidRPr="00CE3BDE">
        <w:rPr>
          <w:rFonts w:ascii="Verdana" w:eastAsia="MS Mincho" w:hAnsi="Verdana" w:cs="AdvPS94BA"/>
          <w:sz w:val="20"/>
          <w:szCs w:val="20"/>
          <w:u w:val="single"/>
          <w:lang w:val="en-GB" w:eastAsia="ja-JP"/>
        </w:rPr>
        <w:t>RAI Refractory</w:t>
      </w:r>
    </w:p>
    <w:p w:rsidR="00CE3BDE" w:rsidRPr="00CE3BDE" w:rsidRDefault="003736E5" w:rsidP="00CE3BDE">
      <w:pPr>
        <w:rPr>
          <w:rFonts w:ascii="Verdana" w:hAnsi="Verdana" w:cs="Arial"/>
          <w:sz w:val="20"/>
          <w:szCs w:val="20"/>
        </w:rPr>
      </w:pPr>
      <w:r w:rsidRPr="00CE3BDE">
        <w:rPr>
          <w:rFonts w:ascii="Verdana" w:hAnsi="Verdana" w:cs="Arial"/>
          <w:sz w:val="20"/>
          <w:szCs w:val="20"/>
          <w:lang w:val="en-GB"/>
        </w:rPr>
        <w:t>In patients with stage IV thyroid cancer, co</w:t>
      </w:r>
      <w:r w:rsidR="00CE3BDE">
        <w:rPr>
          <w:rFonts w:ascii="Verdana" w:hAnsi="Verdana" w:cs="Arial"/>
          <w:sz w:val="20"/>
          <w:szCs w:val="20"/>
          <w:lang w:val="en-GB"/>
        </w:rPr>
        <w:t>nsensus guidelines have been dra</w:t>
      </w:r>
      <w:r w:rsidR="00FB2EEA">
        <w:rPr>
          <w:rFonts w:ascii="Verdana" w:hAnsi="Verdana" w:cs="Arial"/>
          <w:sz w:val="20"/>
          <w:szCs w:val="20"/>
          <w:lang w:val="en-GB"/>
        </w:rPr>
        <w:t>wn up to define patients who will no</w:t>
      </w:r>
      <w:r w:rsidRPr="00CE3BDE">
        <w:rPr>
          <w:rFonts w:ascii="Verdana" w:hAnsi="Verdana" w:cs="Arial"/>
          <w:sz w:val="20"/>
          <w:szCs w:val="20"/>
          <w:lang w:val="en-GB"/>
        </w:rPr>
        <w:t>t benefit from further RAI.</w:t>
      </w:r>
      <w:r w:rsidRPr="00CE3BDE">
        <w:rPr>
          <w:rFonts w:ascii="Verdana" w:hAnsi="Verdana" w:cs="Arial"/>
          <w:sz w:val="20"/>
          <w:szCs w:val="20"/>
        </w:rPr>
        <w:t xml:space="preserve"> </w:t>
      </w:r>
    </w:p>
    <w:p w:rsidR="00CE3BDE" w:rsidRDefault="003736E5" w:rsidP="002C15A9">
      <w:pPr>
        <w:numPr>
          <w:ilvl w:val="0"/>
          <w:numId w:val="8"/>
        </w:numPr>
        <w:rPr>
          <w:rFonts w:ascii="Verdana" w:hAnsi="Verdana" w:cs="Arial"/>
          <w:sz w:val="20"/>
          <w:szCs w:val="20"/>
        </w:rPr>
      </w:pPr>
      <w:r w:rsidRPr="00CE3BDE">
        <w:rPr>
          <w:rFonts w:ascii="Verdana" w:hAnsi="Verdana" w:cs="Arial"/>
          <w:sz w:val="20"/>
          <w:szCs w:val="20"/>
        </w:rPr>
        <w:lastRenderedPageBreak/>
        <w:t>Patients with</w:t>
      </w:r>
      <w:r w:rsidR="00CE3BDE">
        <w:rPr>
          <w:rFonts w:ascii="Verdana" w:hAnsi="Verdana" w:cs="Arial"/>
          <w:sz w:val="20"/>
          <w:szCs w:val="20"/>
        </w:rPr>
        <w:t xml:space="preserve"> metastatic disease that doesn’</w:t>
      </w:r>
      <w:r w:rsidRPr="00CE3BDE">
        <w:rPr>
          <w:rFonts w:ascii="Verdana" w:hAnsi="Verdana" w:cs="Arial"/>
          <w:sz w:val="20"/>
          <w:szCs w:val="20"/>
        </w:rPr>
        <w:t xml:space="preserve">t take-up </w:t>
      </w:r>
      <w:r w:rsidRPr="00CE3BDE">
        <w:rPr>
          <w:rFonts w:ascii="Verdana" w:hAnsi="Verdana" w:cs="Arial"/>
          <w:sz w:val="20"/>
          <w:szCs w:val="20"/>
          <w:vertAlign w:val="superscript"/>
        </w:rPr>
        <w:t>131</w:t>
      </w:r>
      <w:r w:rsidRPr="00CE3BDE">
        <w:rPr>
          <w:rFonts w:ascii="Verdana" w:hAnsi="Verdana" w:cs="Arial"/>
          <w:sz w:val="20"/>
          <w:szCs w:val="20"/>
        </w:rPr>
        <w:t xml:space="preserve">I at the time of initial treatment. </w:t>
      </w:r>
    </w:p>
    <w:p w:rsidR="00CE3BDE" w:rsidRDefault="003736E5" w:rsidP="002C15A9">
      <w:pPr>
        <w:numPr>
          <w:ilvl w:val="0"/>
          <w:numId w:val="8"/>
        </w:numPr>
        <w:rPr>
          <w:rFonts w:ascii="Verdana" w:hAnsi="Verdana" w:cs="Arial"/>
          <w:sz w:val="20"/>
          <w:szCs w:val="20"/>
        </w:rPr>
      </w:pPr>
      <w:r w:rsidRPr="00CE3BDE">
        <w:rPr>
          <w:rFonts w:ascii="Verdana" w:hAnsi="Verdana" w:cs="Arial"/>
          <w:sz w:val="20"/>
          <w:szCs w:val="20"/>
        </w:rPr>
        <w:t>Patients whose tumo</w:t>
      </w:r>
      <w:r w:rsidR="00FB2EEA">
        <w:rPr>
          <w:rFonts w:ascii="Verdana" w:hAnsi="Verdana" w:cs="Arial"/>
          <w:sz w:val="20"/>
          <w:szCs w:val="20"/>
        </w:rPr>
        <w:t>u</w:t>
      </w:r>
      <w:r w:rsidRPr="00CE3BDE">
        <w:rPr>
          <w:rFonts w:ascii="Verdana" w:hAnsi="Verdana" w:cs="Arial"/>
          <w:sz w:val="20"/>
          <w:szCs w:val="20"/>
        </w:rPr>
        <w:t xml:space="preserve">rs lose the ability to take-up </w:t>
      </w:r>
      <w:r w:rsidRPr="00CE3BDE">
        <w:rPr>
          <w:rFonts w:ascii="Verdana" w:hAnsi="Verdana" w:cs="Arial"/>
          <w:sz w:val="20"/>
          <w:szCs w:val="20"/>
          <w:vertAlign w:val="superscript"/>
        </w:rPr>
        <w:t>131</w:t>
      </w:r>
      <w:r w:rsidRPr="00CE3BDE">
        <w:rPr>
          <w:rFonts w:ascii="Verdana" w:hAnsi="Verdana" w:cs="Arial"/>
          <w:sz w:val="20"/>
          <w:szCs w:val="20"/>
        </w:rPr>
        <w:t>I after previous evidence of uptake</w:t>
      </w:r>
      <w:r w:rsidR="00CE3BDE">
        <w:rPr>
          <w:rFonts w:ascii="Verdana" w:hAnsi="Verdana" w:cs="Arial"/>
          <w:sz w:val="20"/>
          <w:szCs w:val="20"/>
        </w:rPr>
        <w:t>.</w:t>
      </w:r>
    </w:p>
    <w:p w:rsidR="00CE3BDE" w:rsidRPr="00CE3BDE" w:rsidRDefault="003736E5" w:rsidP="002C15A9">
      <w:pPr>
        <w:numPr>
          <w:ilvl w:val="0"/>
          <w:numId w:val="8"/>
        </w:numPr>
        <w:rPr>
          <w:rFonts w:ascii="Verdana" w:hAnsi="Verdana" w:cs="Arial"/>
          <w:sz w:val="20"/>
          <w:szCs w:val="20"/>
        </w:rPr>
      </w:pPr>
      <w:r w:rsidRPr="00CE3BDE">
        <w:rPr>
          <w:rFonts w:ascii="Verdana" w:hAnsi="Verdana" w:cs="Arial"/>
          <w:sz w:val="20"/>
          <w:szCs w:val="20"/>
        </w:rPr>
        <w:t xml:space="preserve">Patients with </w:t>
      </w:r>
      <w:r w:rsidRPr="00CE3BDE">
        <w:rPr>
          <w:rFonts w:ascii="Verdana" w:hAnsi="Verdana" w:cs="Arial"/>
          <w:sz w:val="20"/>
          <w:szCs w:val="20"/>
          <w:vertAlign w:val="superscript"/>
        </w:rPr>
        <w:t>131</w:t>
      </w:r>
      <w:r w:rsidRPr="00CE3BDE">
        <w:rPr>
          <w:rFonts w:ascii="Verdana" w:hAnsi="Verdana" w:cs="Arial"/>
          <w:sz w:val="20"/>
          <w:szCs w:val="20"/>
        </w:rPr>
        <w:t xml:space="preserve">I uptake retained in some lesions but not in others. </w:t>
      </w:r>
    </w:p>
    <w:p w:rsidR="00CE3BDE" w:rsidRDefault="003736E5" w:rsidP="002C15A9">
      <w:pPr>
        <w:numPr>
          <w:ilvl w:val="0"/>
          <w:numId w:val="8"/>
        </w:numPr>
        <w:rPr>
          <w:rFonts w:ascii="Verdana" w:hAnsi="Verdana" w:cs="Arial"/>
          <w:sz w:val="20"/>
          <w:szCs w:val="20"/>
        </w:rPr>
      </w:pPr>
      <w:r w:rsidRPr="00CE3BDE">
        <w:rPr>
          <w:rFonts w:ascii="Verdana" w:hAnsi="Verdana" w:cs="Arial"/>
          <w:sz w:val="20"/>
          <w:szCs w:val="20"/>
        </w:rPr>
        <w:t xml:space="preserve">Patients with metastatic disease that progresses </w:t>
      </w:r>
      <w:r w:rsidR="00CE3BDE" w:rsidRPr="00CE3BDE">
        <w:rPr>
          <w:rFonts w:ascii="Verdana" w:hAnsi="Verdana" w:cs="Arial"/>
          <w:sz w:val="20"/>
          <w:szCs w:val="20"/>
        </w:rPr>
        <w:t xml:space="preserve">within 12 months </w:t>
      </w:r>
      <w:r w:rsidRPr="00CE3BDE">
        <w:rPr>
          <w:rFonts w:ascii="Verdana" w:hAnsi="Verdana" w:cs="Arial"/>
          <w:sz w:val="20"/>
          <w:szCs w:val="20"/>
        </w:rPr>
        <w:t xml:space="preserve">despite significant uptake of </w:t>
      </w:r>
      <w:r w:rsidRPr="00CE3BDE">
        <w:rPr>
          <w:rFonts w:ascii="Verdana" w:hAnsi="Verdana" w:cs="Arial"/>
          <w:sz w:val="20"/>
          <w:szCs w:val="20"/>
          <w:vertAlign w:val="superscript"/>
        </w:rPr>
        <w:t>131</w:t>
      </w:r>
      <w:r w:rsidRPr="00CE3BDE">
        <w:rPr>
          <w:rFonts w:ascii="Verdana" w:hAnsi="Verdana" w:cs="Arial"/>
          <w:sz w:val="20"/>
          <w:szCs w:val="20"/>
        </w:rPr>
        <w:t xml:space="preserve">I. </w:t>
      </w:r>
    </w:p>
    <w:p w:rsidR="003736E5" w:rsidRPr="00CE3BDE" w:rsidRDefault="003736E5" w:rsidP="002C15A9">
      <w:pPr>
        <w:numPr>
          <w:ilvl w:val="0"/>
          <w:numId w:val="8"/>
        </w:numPr>
        <w:rPr>
          <w:rFonts w:ascii="Verdana" w:hAnsi="Verdana" w:cs="Arial"/>
          <w:sz w:val="20"/>
          <w:szCs w:val="20"/>
        </w:rPr>
      </w:pPr>
      <w:r w:rsidRPr="00CE3BDE">
        <w:rPr>
          <w:rFonts w:ascii="Verdana" w:hAnsi="Verdana" w:cs="Arial"/>
          <w:sz w:val="20"/>
          <w:szCs w:val="20"/>
        </w:rPr>
        <w:t xml:space="preserve">Less clear is the situation for patients with persistent visible </w:t>
      </w:r>
      <w:r w:rsidRPr="00CE3BDE">
        <w:rPr>
          <w:rFonts w:ascii="Verdana" w:hAnsi="Verdana" w:cs="Arial"/>
          <w:sz w:val="20"/>
          <w:szCs w:val="20"/>
          <w:vertAlign w:val="superscript"/>
        </w:rPr>
        <w:t>131</w:t>
      </w:r>
      <w:r w:rsidRPr="00CE3BDE">
        <w:rPr>
          <w:rFonts w:ascii="Verdana" w:hAnsi="Verdana" w:cs="Arial"/>
          <w:sz w:val="20"/>
          <w:szCs w:val="20"/>
        </w:rPr>
        <w:t xml:space="preserve">I uptake in all residual lesions who are not cured despite several treatment courses but whose disease does not progress according to RECIST criteria. It is controversial as to whether these patients (particularly after receiving more than </w:t>
      </w:r>
      <w:r w:rsidR="00DB4694">
        <w:rPr>
          <w:rFonts w:ascii="Verdana" w:hAnsi="Verdana" w:cs="Arial"/>
          <w:sz w:val="20"/>
          <w:szCs w:val="20"/>
        </w:rPr>
        <w:t>22,000 MBq</w:t>
      </w:r>
      <w:r w:rsidRPr="00CE3BDE">
        <w:rPr>
          <w:rFonts w:ascii="Verdana" w:hAnsi="Verdana" w:cs="Arial"/>
          <w:sz w:val="20"/>
          <w:szCs w:val="20"/>
        </w:rPr>
        <w:t xml:space="preserve"> of </w:t>
      </w:r>
      <w:r w:rsidRPr="00CE3BDE">
        <w:rPr>
          <w:rFonts w:ascii="Verdana" w:hAnsi="Verdana" w:cs="Arial"/>
          <w:sz w:val="20"/>
          <w:szCs w:val="20"/>
          <w:vertAlign w:val="superscript"/>
        </w:rPr>
        <w:t>131</w:t>
      </w:r>
      <w:r w:rsidRPr="00CE3BDE">
        <w:rPr>
          <w:rFonts w:ascii="Verdana" w:hAnsi="Verdana" w:cs="Arial"/>
          <w:sz w:val="20"/>
          <w:szCs w:val="20"/>
        </w:rPr>
        <w:t xml:space="preserve">I) should be considered </w:t>
      </w:r>
      <w:r w:rsidRPr="00CE3BDE">
        <w:rPr>
          <w:rFonts w:ascii="Verdana" w:hAnsi="Verdana" w:cs="Arial"/>
          <w:sz w:val="20"/>
          <w:szCs w:val="20"/>
          <w:vertAlign w:val="superscript"/>
        </w:rPr>
        <w:t>131</w:t>
      </w:r>
      <w:r w:rsidRPr="00CE3BDE">
        <w:rPr>
          <w:rFonts w:ascii="Verdana" w:hAnsi="Verdana" w:cs="Arial"/>
          <w:sz w:val="20"/>
          <w:szCs w:val="20"/>
        </w:rPr>
        <w:t xml:space="preserve">I-refractory and whether </w:t>
      </w:r>
      <w:r w:rsidRPr="00CE3BDE">
        <w:rPr>
          <w:rFonts w:ascii="Verdana" w:hAnsi="Verdana" w:cs="Arial"/>
          <w:sz w:val="20"/>
          <w:szCs w:val="20"/>
          <w:vertAlign w:val="superscript"/>
        </w:rPr>
        <w:t>131</w:t>
      </w:r>
      <w:r w:rsidRPr="00CE3BDE">
        <w:rPr>
          <w:rFonts w:ascii="Verdana" w:hAnsi="Verdana" w:cs="Arial"/>
          <w:sz w:val="20"/>
          <w:szCs w:val="20"/>
        </w:rPr>
        <w:t xml:space="preserve">I treatment should be abandoned. </w:t>
      </w:r>
    </w:p>
    <w:p w:rsidR="003736E5" w:rsidRPr="00CE3BDE" w:rsidRDefault="003736E5" w:rsidP="002C15A9">
      <w:pPr>
        <w:pStyle w:val="CommentText"/>
        <w:numPr>
          <w:ilvl w:val="0"/>
          <w:numId w:val="8"/>
        </w:numPr>
        <w:rPr>
          <w:rFonts w:ascii="Verdana" w:hAnsi="Verdana" w:cs="Arial"/>
        </w:rPr>
      </w:pPr>
      <w:r w:rsidRPr="00CE3BDE">
        <w:rPr>
          <w:rFonts w:ascii="Verdana" w:hAnsi="Verdana" w:cs="Arial"/>
        </w:rPr>
        <w:t xml:space="preserve">Finally, patients with advanced disease for whom thyroidectomy is not feasible. In such patients, </w:t>
      </w:r>
      <w:r w:rsidRPr="00CE3BDE">
        <w:rPr>
          <w:rFonts w:ascii="Verdana" w:hAnsi="Verdana" w:cs="Arial"/>
          <w:vertAlign w:val="superscript"/>
        </w:rPr>
        <w:t>131</w:t>
      </w:r>
      <w:r w:rsidRPr="00CE3BDE">
        <w:rPr>
          <w:rFonts w:ascii="Verdana" w:hAnsi="Verdana" w:cs="Arial"/>
        </w:rPr>
        <w:t xml:space="preserve">I treatment is usually not administered because </w:t>
      </w:r>
      <w:r w:rsidRPr="00CE3BDE">
        <w:rPr>
          <w:rFonts w:ascii="Verdana" w:hAnsi="Verdana" w:cs="Arial"/>
          <w:vertAlign w:val="superscript"/>
        </w:rPr>
        <w:t>131</w:t>
      </w:r>
      <w:r w:rsidRPr="00CE3BDE">
        <w:rPr>
          <w:rFonts w:ascii="Verdana" w:hAnsi="Verdana" w:cs="Arial"/>
        </w:rPr>
        <w:t xml:space="preserve">I is ineffective when the thyroid gland is still present and </w:t>
      </w:r>
      <w:r w:rsidRPr="00CE3BDE">
        <w:rPr>
          <w:rFonts w:ascii="Verdana" w:hAnsi="Verdana" w:cs="Arial"/>
          <w:vertAlign w:val="superscript"/>
        </w:rPr>
        <w:t>131</w:t>
      </w:r>
      <w:r w:rsidRPr="00CE3BDE">
        <w:rPr>
          <w:rFonts w:ascii="Verdana" w:hAnsi="Verdana" w:cs="Arial"/>
        </w:rPr>
        <w:t>I uptake status cannot be assessed.  These patients could be managed as iodine-refractory patients, or if desired, treated with RAI to destroy the thyroid.</w:t>
      </w:r>
    </w:p>
    <w:p w:rsidR="003736E5" w:rsidRPr="003736E5" w:rsidRDefault="003736E5" w:rsidP="00D70159">
      <w:pPr>
        <w:autoSpaceDE w:val="0"/>
        <w:autoSpaceDN w:val="0"/>
        <w:adjustRightInd w:val="0"/>
        <w:rPr>
          <w:rFonts w:ascii="AdvPS94BA" w:eastAsia="MS Mincho" w:hAnsi="AdvPS94BA" w:cs="AdvPS94BA"/>
          <w:sz w:val="19"/>
          <w:szCs w:val="19"/>
          <w:u w:val="single"/>
          <w:lang w:eastAsia="ja-JP"/>
        </w:rPr>
      </w:pPr>
    </w:p>
    <w:p w:rsidR="00D70159" w:rsidRPr="00D70159" w:rsidRDefault="00D70159" w:rsidP="00D70159">
      <w:pPr>
        <w:autoSpaceDE w:val="0"/>
        <w:autoSpaceDN w:val="0"/>
        <w:adjustRightInd w:val="0"/>
        <w:rPr>
          <w:rFonts w:ascii="AdvPS94BA" w:eastAsia="MS Mincho" w:hAnsi="AdvPS94BA" w:cs="AdvPS94BA"/>
          <w:sz w:val="19"/>
          <w:szCs w:val="19"/>
          <w:u w:val="single"/>
          <w:lang w:val="en-GB" w:eastAsia="ja-JP"/>
        </w:rPr>
      </w:pPr>
    </w:p>
    <w:p w:rsidR="000A50F0" w:rsidRPr="00625539" w:rsidRDefault="00CE3BDE" w:rsidP="00D80C86">
      <w:pPr>
        <w:rPr>
          <w:rFonts w:ascii="Verdana" w:hAnsi="Verdana"/>
          <w:sz w:val="20"/>
        </w:rPr>
      </w:pPr>
      <w:r w:rsidRPr="00CE3BDE">
        <w:rPr>
          <w:rFonts w:ascii="Verdana" w:hAnsi="Verdana"/>
          <w:b/>
          <w:sz w:val="20"/>
        </w:rPr>
        <w:t>E</w:t>
      </w:r>
      <w:r w:rsidR="001606DA">
        <w:rPr>
          <w:rFonts w:ascii="Verdana" w:hAnsi="Verdana"/>
          <w:b/>
          <w:sz w:val="20"/>
        </w:rPr>
        <w:t>xternal-Beam Radiotherapy</w:t>
      </w:r>
    </w:p>
    <w:p w:rsidR="00141BA1" w:rsidRDefault="00141BA1" w:rsidP="00D80C86">
      <w:pPr>
        <w:autoSpaceDE w:val="0"/>
        <w:autoSpaceDN w:val="0"/>
        <w:adjustRightInd w:val="0"/>
        <w:rPr>
          <w:rFonts w:ascii="Verdana" w:hAnsi="Verdana"/>
          <w:sz w:val="20"/>
        </w:rPr>
      </w:pPr>
    </w:p>
    <w:p w:rsidR="00FF66B9" w:rsidRPr="00C9282E" w:rsidRDefault="00844554" w:rsidP="00D80C86">
      <w:pPr>
        <w:autoSpaceDE w:val="0"/>
        <w:autoSpaceDN w:val="0"/>
        <w:adjustRightInd w:val="0"/>
        <w:rPr>
          <w:rFonts w:ascii="Verdana" w:hAnsi="Verdana"/>
          <w:sz w:val="20"/>
          <w:szCs w:val="20"/>
        </w:rPr>
      </w:pPr>
      <w:r w:rsidRPr="00C9282E">
        <w:rPr>
          <w:rFonts w:ascii="Verdana" w:hAnsi="Verdana"/>
          <w:sz w:val="20"/>
          <w:szCs w:val="20"/>
        </w:rPr>
        <w:t>External beam radiotherapy (EBRT) is rese</w:t>
      </w:r>
      <w:r w:rsidR="00FF66B9" w:rsidRPr="00C9282E">
        <w:rPr>
          <w:rFonts w:ascii="Verdana" w:hAnsi="Verdana"/>
          <w:sz w:val="20"/>
          <w:szCs w:val="20"/>
        </w:rPr>
        <w:t>rved for selected patients with</w:t>
      </w:r>
    </w:p>
    <w:p w:rsidR="00FF66B9" w:rsidRPr="00C9282E" w:rsidRDefault="00FF66B9" w:rsidP="00D80C86">
      <w:pPr>
        <w:autoSpaceDE w:val="0"/>
        <w:autoSpaceDN w:val="0"/>
        <w:adjustRightInd w:val="0"/>
        <w:rPr>
          <w:rFonts w:ascii="Verdana" w:hAnsi="Verdana"/>
          <w:sz w:val="20"/>
          <w:szCs w:val="20"/>
        </w:rPr>
      </w:pPr>
    </w:p>
    <w:p w:rsidR="00FF66B9" w:rsidRPr="00C9282E" w:rsidRDefault="00FF66B9" w:rsidP="00FF66B9">
      <w:pPr>
        <w:pStyle w:val="ListParagraph"/>
        <w:numPr>
          <w:ilvl w:val="0"/>
          <w:numId w:val="20"/>
        </w:numPr>
        <w:autoSpaceDE w:val="0"/>
        <w:autoSpaceDN w:val="0"/>
        <w:adjustRightInd w:val="0"/>
        <w:rPr>
          <w:rFonts w:ascii="Verdana" w:hAnsi="Verdana"/>
          <w:sz w:val="20"/>
          <w:szCs w:val="20"/>
        </w:rPr>
      </w:pPr>
      <w:r w:rsidRPr="00C9282E">
        <w:rPr>
          <w:rFonts w:ascii="Verdana" w:hAnsi="Verdana"/>
          <w:sz w:val="20"/>
          <w:szCs w:val="20"/>
        </w:rPr>
        <w:t>Locally advanced disease</w:t>
      </w:r>
    </w:p>
    <w:p w:rsidR="00CC6015" w:rsidRPr="00C9282E" w:rsidRDefault="00CC6015" w:rsidP="00CC6015">
      <w:pPr>
        <w:pStyle w:val="ListParagraph"/>
        <w:numPr>
          <w:ilvl w:val="1"/>
          <w:numId w:val="20"/>
        </w:numPr>
        <w:autoSpaceDE w:val="0"/>
        <w:autoSpaceDN w:val="0"/>
        <w:adjustRightInd w:val="0"/>
        <w:rPr>
          <w:rFonts w:ascii="Verdana" w:hAnsi="Verdana"/>
          <w:sz w:val="20"/>
          <w:szCs w:val="20"/>
        </w:rPr>
      </w:pPr>
      <w:r w:rsidRPr="00C9282E">
        <w:rPr>
          <w:rFonts w:ascii="Verdana" w:hAnsi="Verdana"/>
          <w:sz w:val="20"/>
          <w:szCs w:val="20"/>
        </w:rPr>
        <w:t>Grossly visible extra thyroid extension at time of surgery</w:t>
      </w:r>
    </w:p>
    <w:p w:rsidR="00CC6015" w:rsidRPr="00C9282E" w:rsidRDefault="00CC6015" w:rsidP="00CC6015">
      <w:pPr>
        <w:pStyle w:val="ListParagraph"/>
        <w:numPr>
          <w:ilvl w:val="1"/>
          <w:numId w:val="20"/>
        </w:numPr>
        <w:autoSpaceDE w:val="0"/>
        <w:autoSpaceDN w:val="0"/>
        <w:adjustRightInd w:val="0"/>
        <w:rPr>
          <w:rFonts w:ascii="Verdana" w:hAnsi="Verdana"/>
          <w:sz w:val="20"/>
          <w:szCs w:val="20"/>
        </w:rPr>
      </w:pPr>
      <w:r w:rsidRPr="00C9282E">
        <w:rPr>
          <w:rFonts w:ascii="Verdana" w:hAnsi="Verdana"/>
          <w:sz w:val="20"/>
          <w:szCs w:val="20"/>
        </w:rPr>
        <w:t>Inoperable disease</w:t>
      </w:r>
    </w:p>
    <w:p w:rsidR="00FF66B9" w:rsidRPr="00C9282E" w:rsidRDefault="00FF66B9" w:rsidP="00FF66B9">
      <w:pPr>
        <w:pStyle w:val="ListParagraph"/>
        <w:numPr>
          <w:ilvl w:val="0"/>
          <w:numId w:val="20"/>
        </w:numPr>
        <w:autoSpaceDE w:val="0"/>
        <w:autoSpaceDN w:val="0"/>
        <w:adjustRightInd w:val="0"/>
        <w:rPr>
          <w:rFonts w:ascii="Verdana" w:hAnsi="Verdana"/>
          <w:sz w:val="20"/>
          <w:szCs w:val="20"/>
        </w:rPr>
      </w:pPr>
      <w:r w:rsidRPr="00C9282E">
        <w:rPr>
          <w:rFonts w:ascii="Verdana" w:hAnsi="Verdana"/>
          <w:sz w:val="20"/>
          <w:szCs w:val="20"/>
        </w:rPr>
        <w:t>H</w:t>
      </w:r>
      <w:r w:rsidR="00844554" w:rsidRPr="00C9282E">
        <w:rPr>
          <w:rFonts w:ascii="Verdana" w:hAnsi="Verdana"/>
          <w:sz w:val="20"/>
          <w:szCs w:val="20"/>
        </w:rPr>
        <w:t xml:space="preserve">igh-risk surgical pathologic </w:t>
      </w:r>
      <w:r w:rsidRPr="00C9282E">
        <w:rPr>
          <w:rFonts w:ascii="Verdana" w:hAnsi="Verdana"/>
          <w:sz w:val="20"/>
          <w:szCs w:val="20"/>
        </w:rPr>
        <w:t>features</w:t>
      </w:r>
    </w:p>
    <w:p w:rsidR="00FF66B9" w:rsidRPr="00C9282E" w:rsidRDefault="00FF66B9" w:rsidP="00FF66B9">
      <w:pPr>
        <w:pStyle w:val="ListParagraph"/>
        <w:numPr>
          <w:ilvl w:val="1"/>
          <w:numId w:val="20"/>
        </w:numPr>
        <w:autoSpaceDE w:val="0"/>
        <w:autoSpaceDN w:val="0"/>
        <w:adjustRightInd w:val="0"/>
        <w:rPr>
          <w:rFonts w:ascii="Verdana" w:hAnsi="Verdana"/>
          <w:sz w:val="20"/>
          <w:szCs w:val="20"/>
        </w:rPr>
      </w:pPr>
      <w:r w:rsidRPr="00C9282E">
        <w:rPr>
          <w:rFonts w:ascii="Verdana" w:hAnsi="Verdana"/>
          <w:sz w:val="20"/>
          <w:szCs w:val="20"/>
        </w:rPr>
        <w:t>Gross residual disease</w:t>
      </w:r>
      <w:r w:rsidR="00CC6015" w:rsidRPr="00C9282E">
        <w:rPr>
          <w:rFonts w:ascii="Verdana" w:hAnsi="Verdana"/>
          <w:sz w:val="20"/>
          <w:szCs w:val="20"/>
        </w:rPr>
        <w:t>. A study from Royal Marsden showed complete response in 37% and partial response in an additional 25%</w:t>
      </w:r>
    </w:p>
    <w:p w:rsidR="00CC6015" w:rsidRPr="00C9282E" w:rsidRDefault="00CC6015" w:rsidP="00FF66B9">
      <w:pPr>
        <w:pStyle w:val="ListParagraph"/>
        <w:numPr>
          <w:ilvl w:val="0"/>
          <w:numId w:val="20"/>
        </w:numPr>
        <w:autoSpaceDE w:val="0"/>
        <w:autoSpaceDN w:val="0"/>
        <w:adjustRightInd w:val="0"/>
        <w:rPr>
          <w:rFonts w:ascii="Verdana" w:hAnsi="Verdana"/>
          <w:sz w:val="20"/>
          <w:szCs w:val="20"/>
        </w:rPr>
      </w:pPr>
      <w:r w:rsidRPr="00C9282E">
        <w:rPr>
          <w:rFonts w:ascii="Verdana" w:hAnsi="Verdana"/>
          <w:sz w:val="20"/>
          <w:szCs w:val="20"/>
        </w:rPr>
        <w:t>R</w:t>
      </w:r>
      <w:r w:rsidR="00844554" w:rsidRPr="00C9282E">
        <w:rPr>
          <w:rFonts w:ascii="Verdana" w:hAnsi="Verdana"/>
          <w:sz w:val="20"/>
          <w:szCs w:val="20"/>
        </w:rPr>
        <w:t>ecurrent or metastatic disease nonresponsive to RAI therapy</w:t>
      </w:r>
    </w:p>
    <w:p w:rsidR="00CC6015" w:rsidRPr="00C9282E" w:rsidRDefault="00CC6015" w:rsidP="00CC6015">
      <w:pPr>
        <w:autoSpaceDE w:val="0"/>
        <w:autoSpaceDN w:val="0"/>
        <w:adjustRightInd w:val="0"/>
        <w:rPr>
          <w:rFonts w:ascii="Verdana" w:hAnsi="Verdana"/>
          <w:sz w:val="20"/>
          <w:szCs w:val="20"/>
        </w:rPr>
      </w:pPr>
      <w:r w:rsidRPr="00C9282E">
        <w:rPr>
          <w:rFonts w:ascii="Verdana" w:hAnsi="Verdana"/>
          <w:sz w:val="20"/>
          <w:szCs w:val="20"/>
        </w:rPr>
        <w:t>Radiotherapy doses and techniques</w:t>
      </w:r>
    </w:p>
    <w:p w:rsidR="00CC6015" w:rsidRPr="00C9282E" w:rsidRDefault="00CC6015" w:rsidP="00CC6015">
      <w:pPr>
        <w:autoSpaceDE w:val="0"/>
        <w:autoSpaceDN w:val="0"/>
        <w:adjustRightInd w:val="0"/>
        <w:rPr>
          <w:rFonts w:ascii="Verdana" w:hAnsi="Verdana"/>
          <w:sz w:val="20"/>
          <w:szCs w:val="20"/>
        </w:rPr>
      </w:pPr>
    </w:p>
    <w:p w:rsidR="00844554" w:rsidRPr="00C9282E" w:rsidRDefault="00CC6015" w:rsidP="00CC6015">
      <w:pPr>
        <w:pStyle w:val="ListParagraph"/>
        <w:numPr>
          <w:ilvl w:val="0"/>
          <w:numId w:val="21"/>
        </w:numPr>
        <w:autoSpaceDE w:val="0"/>
        <w:autoSpaceDN w:val="0"/>
        <w:adjustRightInd w:val="0"/>
        <w:rPr>
          <w:rFonts w:ascii="Verdana" w:hAnsi="Verdana"/>
          <w:sz w:val="20"/>
          <w:szCs w:val="20"/>
        </w:rPr>
      </w:pPr>
      <w:r w:rsidRPr="00C9282E">
        <w:rPr>
          <w:rFonts w:ascii="Verdana" w:hAnsi="Verdana"/>
          <w:sz w:val="20"/>
          <w:szCs w:val="20"/>
        </w:rPr>
        <w:t xml:space="preserve">Adjuvant </w:t>
      </w:r>
    </w:p>
    <w:p w:rsidR="00CC6015" w:rsidRPr="00C9282E" w:rsidRDefault="00CC6015" w:rsidP="00CC6015">
      <w:pPr>
        <w:pStyle w:val="ListParagraph"/>
        <w:numPr>
          <w:ilvl w:val="1"/>
          <w:numId w:val="21"/>
        </w:numPr>
        <w:autoSpaceDE w:val="0"/>
        <w:autoSpaceDN w:val="0"/>
        <w:adjustRightInd w:val="0"/>
        <w:rPr>
          <w:rFonts w:ascii="Verdana" w:hAnsi="Verdana"/>
          <w:sz w:val="20"/>
          <w:szCs w:val="20"/>
        </w:rPr>
      </w:pPr>
      <w:r w:rsidRPr="00C9282E">
        <w:rPr>
          <w:rFonts w:ascii="Verdana" w:hAnsi="Verdana"/>
          <w:sz w:val="20"/>
          <w:szCs w:val="20"/>
        </w:rPr>
        <w:t xml:space="preserve">60- 66 Gy in 2Gy per fraction using IMRT covering the thyroid bed and bilateral neck nodes </w:t>
      </w:r>
    </w:p>
    <w:p w:rsidR="00CC6015" w:rsidRPr="00C9282E" w:rsidRDefault="00CC6015" w:rsidP="00CC6015">
      <w:pPr>
        <w:pStyle w:val="ListParagraph"/>
        <w:numPr>
          <w:ilvl w:val="0"/>
          <w:numId w:val="21"/>
        </w:numPr>
        <w:autoSpaceDE w:val="0"/>
        <w:autoSpaceDN w:val="0"/>
        <w:adjustRightInd w:val="0"/>
        <w:rPr>
          <w:rFonts w:ascii="Verdana" w:hAnsi="Verdana"/>
          <w:sz w:val="20"/>
          <w:szCs w:val="20"/>
        </w:rPr>
      </w:pPr>
      <w:r w:rsidRPr="00C9282E">
        <w:rPr>
          <w:rFonts w:ascii="Verdana" w:hAnsi="Verdana"/>
          <w:sz w:val="20"/>
          <w:szCs w:val="20"/>
        </w:rPr>
        <w:t xml:space="preserve">Palliative </w:t>
      </w:r>
    </w:p>
    <w:p w:rsidR="00CC6015" w:rsidRPr="00C9282E" w:rsidRDefault="00CC6015" w:rsidP="00CC6015">
      <w:pPr>
        <w:pStyle w:val="ListParagraph"/>
        <w:numPr>
          <w:ilvl w:val="1"/>
          <w:numId w:val="21"/>
        </w:numPr>
        <w:autoSpaceDE w:val="0"/>
        <w:autoSpaceDN w:val="0"/>
        <w:adjustRightInd w:val="0"/>
        <w:rPr>
          <w:rFonts w:ascii="Verdana" w:hAnsi="Verdana"/>
          <w:sz w:val="20"/>
          <w:szCs w:val="20"/>
        </w:rPr>
      </w:pPr>
      <w:r w:rsidRPr="00C9282E">
        <w:rPr>
          <w:rFonts w:ascii="Verdana" w:hAnsi="Verdana"/>
          <w:sz w:val="20"/>
          <w:szCs w:val="20"/>
        </w:rPr>
        <w:t>Doses range from 30 Gy in 3 Gy per fraction to 45 Gy in 3 Gy per fraction for high dose palliation</w:t>
      </w:r>
    </w:p>
    <w:p w:rsidR="00CC6015" w:rsidRPr="00C9282E" w:rsidRDefault="00CC6015" w:rsidP="00CC6015">
      <w:pPr>
        <w:pStyle w:val="ListParagraph"/>
        <w:numPr>
          <w:ilvl w:val="1"/>
          <w:numId w:val="21"/>
        </w:numPr>
        <w:autoSpaceDE w:val="0"/>
        <w:autoSpaceDN w:val="0"/>
        <w:adjustRightInd w:val="0"/>
        <w:rPr>
          <w:rFonts w:ascii="Verdana" w:hAnsi="Verdana"/>
          <w:sz w:val="20"/>
          <w:szCs w:val="20"/>
        </w:rPr>
      </w:pPr>
      <w:r w:rsidRPr="00C9282E">
        <w:rPr>
          <w:rFonts w:ascii="Verdana" w:hAnsi="Verdana"/>
          <w:sz w:val="20"/>
          <w:szCs w:val="20"/>
        </w:rPr>
        <w:t>20 Gy in  5 fractions and 8 Gy in 1 fraction for palliation of pain, discomfort , osseous metastasis and cord compression</w:t>
      </w:r>
    </w:p>
    <w:p w:rsidR="00CC6015" w:rsidRPr="00C9282E" w:rsidRDefault="00CC6015" w:rsidP="00CC6015">
      <w:pPr>
        <w:pStyle w:val="ListParagraph"/>
        <w:numPr>
          <w:ilvl w:val="1"/>
          <w:numId w:val="21"/>
        </w:numPr>
        <w:autoSpaceDE w:val="0"/>
        <w:autoSpaceDN w:val="0"/>
        <w:adjustRightInd w:val="0"/>
        <w:rPr>
          <w:rFonts w:ascii="Verdana" w:hAnsi="Verdana"/>
          <w:sz w:val="20"/>
          <w:szCs w:val="20"/>
        </w:rPr>
      </w:pPr>
      <w:r w:rsidRPr="00C9282E">
        <w:rPr>
          <w:rFonts w:ascii="Verdana" w:hAnsi="Verdana"/>
          <w:sz w:val="20"/>
          <w:szCs w:val="20"/>
        </w:rPr>
        <w:t>Techniques range from simple single field, parallel pair to IMRT</w:t>
      </w:r>
    </w:p>
    <w:p w:rsidR="00A16EFD" w:rsidRPr="00C9282E" w:rsidRDefault="00A16EFD" w:rsidP="00CC6015">
      <w:pPr>
        <w:pStyle w:val="ListParagraph"/>
        <w:numPr>
          <w:ilvl w:val="1"/>
          <w:numId w:val="21"/>
        </w:numPr>
        <w:autoSpaceDE w:val="0"/>
        <w:autoSpaceDN w:val="0"/>
        <w:adjustRightInd w:val="0"/>
        <w:rPr>
          <w:rFonts w:ascii="Verdana" w:hAnsi="Verdana"/>
          <w:sz w:val="20"/>
          <w:szCs w:val="20"/>
        </w:rPr>
      </w:pPr>
      <w:r w:rsidRPr="00C9282E">
        <w:rPr>
          <w:rFonts w:ascii="Verdana" w:hAnsi="Verdana"/>
          <w:sz w:val="20"/>
          <w:szCs w:val="20"/>
        </w:rPr>
        <w:t xml:space="preserve">Intra-cranial metastases should be considered for surgery/SRS. Following an MRI brain and CT CAP and neck, </w:t>
      </w:r>
      <w:bookmarkStart w:id="0" w:name="_GoBack"/>
      <w:bookmarkEnd w:id="0"/>
      <w:r w:rsidRPr="00C9282E">
        <w:rPr>
          <w:rFonts w:ascii="Verdana" w:hAnsi="Verdana"/>
          <w:sz w:val="20"/>
          <w:szCs w:val="20"/>
        </w:rPr>
        <w:t>refer to ECNO MDM for discussion</w:t>
      </w:r>
    </w:p>
    <w:p w:rsidR="00FF66B9" w:rsidRPr="00C9282E" w:rsidRDefault="00FF66B9" w:rsidP="00D80C86">
      <w:pPr>
        <w:autoSpaceDE w:val="0"/>
        <w:autoSpaceDN w:val="0"/>
        <w:adjustRightInd w:val="0"/>
        <w:rPr>
          <w:rFonts w:ascii="Verdana" w:hAnsi="Verdana"/>
          <w:b/>
          <w:sz w:val="20"/>
        </w:rPr>
      </w:pPr>
    </w:p>
    <w:p w:rsidR="00E305F9" w:rsidRDefault="00CE3BDE" w:rsidP="00D80C86">
      <w:pPr>
        <w:autoSpaceDE w:val="0"/>
        <w:autoSpaceDN w:val="0"/>
        <w:adjustRightInd w:val="0"/>
        <w:rPr>
          <w:rFonts w:ascii="Verdana" w:hAnsi="Verdana"/>
          <w:b/>
          <w:sz w:val="20"/>
        </w:rPr>
      </w:pPr>
      <w:r>
        <w:rPr>
          <w:rFonts w:ascii="Verdana" w:hAnsi="Verdana"/>
          <w:b/>
          <w:sz w:val="20"/>
        </w:rPr>
        <w:t>S</w:t>
      </w:r>
      <w:r w:rsidR="001606DA">
        <w:rPr>
          <w:rFonts w:ascii="Verdana" w:hAnsi="Verdana"/>
          <w:b/>
          <w:sz w:val="20"/>
        </w:rPr>
        <w:t xml:space="preserve">ystemic Anti-Cancer Therapy </w:t>
      </w:r>
      <w:r>
        <w:rPr>
          <w:rFonts w:ascii="Verdana" w:hAnsi="Verdana"/>
          <w:b/>
          <w:sz w:val="20"/>
        </w:rPr>
        <w:t>(SACT)</w:t>
      </w:r>
      <w:r w:rsidR="008D200C">
        <w:rPr>
          <w:rFonts w:ascii="Verdana" w:hAnsi="Verdana"/>
          <w:b/>
          <w:sz w:val="20"/>
        </w:rPr>
        <w:t>:</w:t>
      </w:r>
    </w:p>
    <w:p w:rsidR="00F85CD0" w:rsidRDefault="00F85CD0" w:rsidP="00F85CD0">
      <w:pPr>
        <w:tabs>
          <w:tab w:val="left" w:pos="630"/>
        </w:tabs>
        <w:ind w:left="720" w:hanging="360"/>
        <w:rPr>
          <w:rFonts w:ascii="Verdana" w:hAnsi="Verdana"/>
          <w:b/>
          <w:sz w:val="20"/>
        </w:rPr>
      </w:pPr>
    </w:p>
    <w:p w:rsidR="00CE3BDE" w:rsidRPr="0006548F" w:rsidRDefault="00CE3BDE" w:rsidP="00CE3BDE">
      <w:pPr>
        <w:rPr>
          <w:rFonts w:ascii="Verdana" w:hAnsi="Verdana" w:cs="Arial"/>
          <w:sz w:val="20"/>
          <w:szCs w:val="20"/>
          <w:lang w:val="en-GB" w:eastAsia="fr-FR"/>
        </w:rPr>
      </w:pPr>
      <w:r w:rsidRPr="008D200C">
        <w:rPr>
          <w:rFonts w:ascii="Verdana" w:hAnsi="Verdana" w:cs="Arial"/>
          <w:sz w:val="20"/>
          <w:szCs w:val="20"/>
          <w:lang w:eastAsia="fr-FR"/>
        </w:rPr>
        <w:t>M</w:t>
      </w:r>
      <w:r w:rsidRPr="008D200C">
        <w:rPr>
          <w:rFonts w:ascii="Verdana" w:hAnsi="Verdana" w:cs="Arial"/>
          <w:sz w:val="20"/>
          <w:szCs w:val="20"/>
          <w:lang w:val="en-GB" w:eastAsia="fr-FR"/>
        </w:rPr>
        <w:t>etastatic DTC can be asymptomatically stable for long periods of time, in particular in young pa</w:t>
      </w:r>
      <w:r w:rsidRPr="0006548F">
        <w:rPr>
          <w:rFonts w:ascii="Verdana" w:hAnsi="Verdana" w:cs="Arial"/>
          <w:sz w:val="20"/>
          <w:szCs w:val="20"/>
          <w:lang w:val="en-GB" w:eastAsia="fr-FR"/>
        </w:rPr>
        <w:t>tients with small lung metastases from a well differentiated papillary or follicular carcinoma and in such patients the benefits SACT may be outweighed by drug toxicities.</w:t>
      </w:r>
    </w:p>
    <w:p w:rsidR="00CE3BDE" w:rsidRPr="0006548F" w:rsidRDefault="00CE3BDE" w:rsidP="00CE3BDE">
      <w:pPr>
        <w:rPr>
          <w:rFonts w:ascii="Verdana" w:hAnsi="Verdana" w:cs="Arial"/>
          <w:sz w:val="20"/>
          <w:szCs w:val="20"/>
          <w:lang w:val="en-GB" w:eastAsia="fr-FR"/>
        </w:rPr>
      </w:pPr>
    </w:p>
    <w:p w:rsidR="00EE4202" w:rsidRPr="00EE4202" w:rsidRDefault="00CE3BDE" w:rsidP="00CE3BDE">
      <w:pPr>
        <w:pStyle w:val="ecxmsonormal"/>
        <w:shd w:val="clear" w:color="auto" w:fill="FFFFFF"/>
        <w:spacing w:after="0"/>
        <w:rPr>
          <w:rFonts w:ascii="Verdana" w:hAnsi="Verdana" w:cs="Arial"/>
          <w:i/>
          <w:color w:val="2A2A2A"/>
          <w:sz w:val="20"/>
          <w:szCs w:val="20"/>
        </w:rPr>
      </w:pPr>
      <w:r w:rsidRPr="0006548F">
        <w:rPr>
          <w:rFonts w:ascii="Verdana" w:hAnsi="Verdana" w:cs="Arial"/>
          <w:sz w:val="20"/>
          <w:szCs w:val="20"/>
          <w:lang w:val="en-GB"/>
        </w:rPr>
        <w:t>In general SACT should be reserved for p</w:t>
      </w:r>
      <w:r w:rsidRPr="0006548F">
        <w:rPr>
          <w:rFonts w:ascii="Verdana" w:hAnsi="Verdana" w:cs="Arial"/>
          <w:sz w:val="20"/>
          <w:szCs w:val="20"/>
        </w:rPr>
        <w:t xml:space="preserve">atients with multiple lesions &gt;1-2 cm and with progression within 12 months.  Patients with few and/or small lung lesions &lt;1cm, and those </w:t>
      </w:r>
      <w:r w:rsidRPr="0006548F">
        <w:rPr>
          <w:rFonts w:ascii="Verdana" w:hAnsi="Verdana" w:cs="Arial"/>
          <w:sz w:val="20"/>
          <w:szCs w:val="20"/>
        </w:rPr>
        <w:lastRenderedPageBreak/>
        <w:t xml:space="preserve">with no evidence of progression are considered for active follow-up. </w:t>
      </w:r>
      <w:r w:rsidRPr="0006548F">
        <w:rPr>
          <w:rFonts w:ascii="Verdana" w:hAnsi="Verdana" w:cs="Arial"/>
          <w:sz w:val="20"/>
          <w:szCs w:val="20"/>
          <w:vertAlign w:val="superscript"/>
        </w:rPr>
        <w:t xml:space="preserve"> </w:t>
      </w:r>
      <w:r w:rsidRPr="0006548F">
        <w:rPr>
          <w:rFonts w:ascii="Verdana" w:hAnsi="Verdana" w:cs="Arial"/>
          <w:sz w:val="20"/>
          <w:szCs w:val="20"/>
          <w:vertAlign w:val="superscript"/>
        </w:rPr>
        <w:br/>
      </w:r>
      <w:r w:rsidR="008D200C" w:rsidRPr="0006548F">
        <w:rPr>
          <w:rFonts w:ascii="Verdana" w:hAnsi="Verdana" w:cs="Arial"/>
          <w:sz w:val="20"/>
          <w:szCs w:val="20"/>
        </w:rPr>
        <w:t xml:space="preserve">The exception would be </w:t>
      </w:r>
      <w:r w:rsidRPr="0006548F">
        <w:rPr>
          <w:rFonts w:ascii="Verdana" w:hAnsi="Verdana" w:cs="Arial"/>
          <w:sz w:val="20"/>
          <w:szCs w:val="20"/>
        </w:rPr>
        <w:t xml:space="preserve">patients with large tumor burden and lacking </w:t>
      </w:r>
      <w:r w:rsidRPr="0006548F">
        <w:rPr>
          <w:rFonts w:ascii="Verdana" w:hAnsi="Verdana" w:cs="Arial"/>
          <w:sz w:val="20"/>
          <w:szCs w:val="20"/>
          <w:vertAlign w:val="superscript"/>
        </w:rPr>
        <w:t>131</w:t>
      </w:r>
      <w:r w:rsidRPr="0006548F">
        <w:rPr>
          <w:rFonts w:ascii="Verdana" w:hAnsi="Verdana" w:cs="Arial"/>
          <w:sz w:val="20"/>
          <w:szCs w:val="20"/>
        </w:rPr>
        <w:t xml:space="preserve">I uptake </w:t>
      </w:r>
      <w:r w:rsidR="008D200C" w:rsidRPr="0006548F">
        <w:rPr>
          <w:rFonts w:ascii="Verdana" w:hAnsi="Verdana" w:cs="Arial"/>
          <w:sz w:val="20"/>
          <w:szCs w:val="20"/>
        </w:rPr>
        <w:t>who</w:t>
      </w:r>
      <w:r w:rsidRPr="0006548F">
        <w:rPr>
          <w:rFonts w:ascii="Verdana" w:hAnsi="Verdana" w:cs="Arial"/>
          <w:sz w:val="20"/>
          <w:szCs w:val="20"/>
        </w:rPr>
        <w:t xml:space="preserve"> may be considered for systemic treatment based on uptake of FDG on PET scanning or</w:t>
      </w:r>
      <w:r w:rsidR="008D200C" w:rsidRPr="0006548F">
        <w:rPr>
          <w:rFonts w:ascii="Verdana" w:hAnsi="Verdana" w:cs="Arial"/>
          <w:sz w:val="20"/>
          <w:szCs w:val="20"/>
        </w:rPr>
        <w:t xml:space="preserve"> even on primary tumor histology</w:t>
      </w:r>
      <w:r w:rsidRPr="0006548F">
        <w:rPr>
          <w:rFonts w:ascii="Verdana" w:hAnsi="Verdana" w:cs="Arial"/>
          <w:sz w:val="20"/>
          <w:szCs w:val="20"/>
        </w:rPr>
        <w:t xml:space="preserve">, </w:t>
      </w:r>
      <w:r w:rsidR="008D200C" w:rsidRPr="0006548F">
        <w:rPr>
          <w:rFonts w:ascii="Verdana" w:hAnsi="Verdana" w:cs="Arial"/>
          <w:sz w:val="20"/>
          <w:szCs w:val="20"/>
        </w:rPr>
        <w:t>if</w:t>
      </w:r>
      <w:r w:rsidRPr="0006548F">
        <w:rPr>
          <w:rFonts w:ascii="Verdana" w:hAnsi="Verdana" w:cs="Arial"/>
          <w:sz w:val="20"/>
          <w:szCs w:val="20"/>
        </w:rPr>
        <w:t xml:space="preserve"> there is a high risk of complications.</w:t>
      </w:r>
      <w:r w:rsidRPr="0006548F">
        <w:rPr>
          <w:rFonts w:ascii="Verdana" w:hAnsi="Verdana" w:cs="Arial"/>
          <w:i/>
          <w:color w:val="2A2A2A"/>
          <w:sz w:val="20"/>
          <w:szCs w:val="20"/>
        </w:rPr>
        <w:t xml:space="preserve"> </w:t>
      </w:r>
    </w:p>
    <w:p w:rsidR="00CE3BDE" w:rsidRPr="0006548F" w:rsidRDefault="00CE3BDE" w:rsidP="00CE3BDE">
      <w:pPr>
        <w:rPr>
          <w:rFonts w:ascii="Verdana" w:hAnsi="Verdana" w:cs="Arial"/>
          <w:sz w:val="20"/>
          <w:szCs w:val="20"/>
        </w:rPr>
      </w:pPr>
    </w:p>
    <w:p w:rsidR="008D200C" w:rsidRPr="0006548F" w:rsidRDefault="008D200C" w:rsidP="0006548F">
      <w:pPr>
        <w:rPr>
          <w:rFonts w:ascii="Verdana" w:hAnsi="Verdana" w:cs="Arial"/>
          <w:sz w:val="20"/>
          <w:szCs w:val="20"/>
          <w:u w:val="single"/>
        </w:rPr>
      </w:pPr>
      <w:r w:rsidRPr="0006548F">
        <w:rPr>
          <w:rFonts w:ascii="Verdana" w:hAnsi="Verdana" w:cs="Arial"/>
          <w:sz w:val="20"/>
          <w:szCs w:val="20"/>
          <w:u w:val="single"/>
        </w:rPr>
        <w:t>Sorafenib</w:t>
      </w:r>
    </w:p>
    <w:p w:rsidR="00896D85" w:rsidRPr="0006548F" w:rsidRDefault="00290E40" w:rsidP="0006548F">
      <w:pPr>
        <w:pStyle w:val="NormalWeb"/>
        <w:spacing w:before="0" w:beforeAutospacing="0" w:after="0" w:afterAutospacing="0"/>
        <w:rPr>
          <w:rFonts w:ascii="Verdana" w:hAnsi="Verdana"/>
          <w:sz w:val="20"/>
          <w:szCs w:val="20"/>
        </w:rPr>
      </w:pPr>
      <w:hyperlink r:id="rId10" w:history="1">
        <w:r w:rsidR="00896D85" w:rsidRPr="0006548F">
          <w:rPr>
            <w:rStyle w:val="Hyperlink"/>
            <w:rFonts w:ascii="Verdana" w:hAnsi="Verdana"/>
            <w:color w:val="auto"/>
            <w:sz w:val="20"/>
            <w:szCs w:val="20"/>
            <w:u w:val="none"/>
          </w:rPr>
          <w:t>Sorafenib</w:t>
        </w:r>
      </w:hyperlink>
      <w:r w:rsidR="00896D85" w:rsidRPr="0006548F">
        <w:rPr>
          <w:rFonts w:ascii="Verdana" w:hAnsi="Verdana"/>
          <w:sz w:val="20"/>
          <w:szCs w:val="20"/>
        </w:rPr>
        <w:t xml:space="preserve"> is SMC-approved for DTC that is refractory to radioactive iodine treatment. In a study of 417 patients with progressive radioiodine-refractory DTC, treatment with sorafenib, significantly improved progression-free survival (10.8 months) compared with placebo (5.8 months) (Brose et al 2014). Tumour histology was 57% papillary, 25% follicular, and 10% poorly differentiated. The majority of the patients (96%) had metastatic disease, of which 71% of the target lesions were in the lung, 40% in lymph nodes, and 14% in bone.  Sorafenib toxicity was similar to that seen when it is used in other tumour types.</w:t>
      </w:r>
    </w:p>
    <w:p w:rsidR="00896D85" w:rsidRPr="0006548F" w:rsidRDefault="00896D85" w:rsidP="0006548F">
      <w:pPr>
        <w:pStyle w:val="NormalWeb"/>
        <w:ind w:left="720"/>
        <w:rPr>
          <w:rFonts w:ascii="Verdana" w:hAnsi="Verdana"/>
          <w:sz w:val="20"/>
          <w:szCs w:val="20"/>
        </w:rPr>
      </w:pPr>
      <w:r w:rsidRPr="0006548F">
        <w:rPr>
          <w:rFonts w:ascii="Verdana" w:hAnsi="Verdana"/>
          <w:sz w:val="20"/>
          <w:szCs w:val="20"/>
        </w:rPr>
        <w:t>Sorafenib 400mg bd until disease progression.  Dose modification on the basis of toxicity.</w:t>
      </w:r>
    </w:p>
    <w:p w:rsidR="008D200C" w:rsidRPr="0006548F" w:rsidRDefault="008D200C" w:rsidP="00CE3BDE">
      <w:pPr>
        <w:rPr>
          <w:rFonts w:ascii="Verdana" w:hAnsi="Verdana" w:cs="Arial"/>
          <w:sz w:val="20"/>
          <w:szCs w:val="20"/>
          <w:u w:val="single"/>
        </w:rPr>
      </w:pPr>
      <w:r w:rsidRPr="0006548F">
        <w:rPr>
          <w:rFonts w:ascii="Verdana" w:hAnsi="Verdana" w:cs="Arial"/>
          <w:sz w:val="20"/>
          <w:szCs w:val="20"/>
          <w:u w:val="single"/>
        </w:rPr>
        <w:t>Lenvatinib</w:t>
      </w:r>
    </w:p>
    <w:p w:rsidR="0006548F" w:rsidRPr="0006548F" w:rsidRDefault="0006548F" w:rsidP="00CE3BDE">
      <w:pPr>
        <w:rPr>
          <w:rFonts w:ascii="Verdana" w:hAnsi="Verdana" w:cs="Arial"/>
          <w:sz w:val="20"/>
          <w:szCs w:val="20"/>
        </w:rPr>
      </w:pPr>
      <w:r w:rsidRPr="0006548F">
        <w:rPr>
          <w:rFonts w:ascii="Verdana" w:hAnsi="Verdana" w:cs="Arial"/>
          <w:sz w:val="20"/>
          <w:szCs w:val="20"/>
        </w:rPr>
        <w:t xml:space="preserve">Lenvatinib </w:t>
      </w:r>
      <w:r w:rsidR="00EE4202" w:rsidRPr="0006548F">
        <w:rPr>
          <w:rFonts w:ascii="Verdana" w:hAnsi="Verdana"/>
          <w:sz w:val="20"/>
          <w:szCs w:val="20"/>
        </w:rPr>
        <w:t xml:space="preserve">is SMC-approved for DTC that is refractory to radioactive iodine treatment. </w:t>
      </w:r>
      <w:r w:rsidRPr="0006548F">
        <w:rPr>
          <w:rFonts w:ascii="Verdana" w:hAnsi="Verdana" w:cs="Arial"/>
          <w:sz w:val="20"/>
          <w:szCs w:val="20"/>
        </w:rPr>
        <w:t>A randomised phase III trial (Schlumberger et al 2015) demonstrated an improvement in pro</w:t>
      </w:r>
      <w:r w:rsidRPr="0006548F">
        <w:rPr>
          <w:rFonts w:ascii="Verdana" w:hAnsi="Verdana"/>
          <w:sz w:val="20"/>
          <w:szCs w:val="20"/>
        </w:rPr>
        <w:t>gression-free survival to 18.3 months in the lenvatinib group from 3.6 months in the placebo group (hazard ratio for progression or death, 0.21; 99% confidence interval, 0.14 to 0.31; P&lt;0.001).   progression-free survival benefit associated with lenvatinib was observed in all prespecified subgroups</w:t>
      </w:r>
      <w:r w:rsidR="00333C3F">
        <w:rPr>
          <w:rFonts w:ascii="Verdana" w:hAnsi="Verdana"/>
          <w:sz w:val="20"/>
          <w:szCs w:val="20"/>
        </w:rPr>
        <w:t>, even in those with previous TKI exposure</w:t>
      </w:r>
      <w:r w:rsidRPr="0006548F">
        <w:rPr>
          <w:rFonts w:ascii="Verdana" w:hAnsi="Verdana"/>
          <w:sz w:val="20"/>
          <w:szCs w:val="20"/>
        </w:rPr>
        <w:t xml:space="preserve">. The median overall survival was not reached in either group. </w:t>
      </w:r>
    </w:p>
    <w:p w:rsidR="0006548F" w:rsidRPr="0006548F" w:rsidRDefault="0006548F" w:rsidP="00CE3BDE">
      <w:pPr>
        <w:rPr>
          <w:rFonts w:ascii="Verdana" w:hAnsi="Verdana"/>
          <w:sz w:val="20"/>
          <w:szCs w:val="20"/>
        </w:rPr>
      </w:pPr>
      <w:r w:rsidRPr="0006548F">
        <w:rPr>
          <w:rFonts w:ascii="Verdana" w:hAnsi="Verdana"/>
          <w:sz w:val="20"/>
          <w:szCs w:val="20"/>
        </w:rPr>
        <w:t>Treatment-related adverse effects of any grade, which occurred in more than 40% of patients in the lenvatinib group, were hypertension (in 67.8% of the patients), diarrhea (in 59.4%), fatigue or asthenia (in 59.0%), decreased appetite (in 50.2%), decreased weight (in 46.4%), and nausea (in 41.0%). Discontinuations of the study drug because of adverse effects occurred in 37 patients who received lenvatinib (14.2%) and 3 patients who received placebo (2.3%). In the lenvatinib group, 6 of 20 deaths that occurred during the treatment period were considered to be drug-related.</w:t>
      </w:r>
    </w:p>
    <w:p w:rsidR="0006548F" w:rsidRPr="0006548F" w:rsidRDefault="0006548F" w:rsidP="00CE3BDE">
      <w:pPr>
        <w:rPr>
          <w:rFonts w:ascii="Verdana" w:hAnsi="Verdana"/>
          <w:sz w:val="20"/>
          <w:szCs w:val="20"/>
        </w:rPr>
      </w:pPr>
    </w:p>
    <w:p w:rsidR="0006548F" w:rsidRDefault="0006548F" w:rsidP="0006548F">
      <w:pPr>
        <w:ind w:left="720"/>
        <w:rPr>
          <w:rFonts w:ascii="Verdana" w:hAnsi="Verdana"/>
          <w:sz w:val="20"/>
          <w:szCs w:val="20"/>
        </w:rPr>
      </w:pPr>
      <w:r w:rsidRPr="0006548F">
        <w:rPr>
          <w:rFonts w:ascii="Verdana" w:hAnsi="Verdana"/>
          <w:sz w:val="20"/>
          <w:szCs w:val="20"/>
        </w:rPr>
        <w:t xml:space="preserve">Lenvatinib 24mg daily until disease progression.  Dose modification on the basis of toxicity.  </w:t>
      </w:r>
    </w:p>
    <w:p w:rsidR="00EE4202" w:rsidRPr="00C9282E" w:rsidRDefault="00EE4202" w:rsidP="00C9282E">
      <w:pPr>
        <w:rPr>
          <w:rFonts w:ascii="Verdana" w:hAnsi="Verdana" w:cs="Arial"/>
          <w:sz w:val="20"/>
          <w:szCs w:val="20"/>
        </w:rPr>
      </w:pPr>
    </w:p>
    <w:p w:rsidR="0006548F" w:rsidRPr="00C9282E" w:rsidRDefault="00EE4202" w:rsidP="00CE3BDE">
      <w:pPr>
        <w:rPr>
          <w:rFonts w:ascii="Verdana" w:hAnsi="Verdana" w:cs="Arial"/>
          <w:sz w:val="20"/>
          <w:szCs w:val="20"/>
        </w:rPr>
      </w:pPr>
      <w:r w:rsidRPr="00C9282E">
        <w:rPr>
          <w:rFonts w:ascii="Verdana" w:hAnsi="Verdana" w:cs="Arial"/>
          <w:sz w:val="20"/>
          <w:szCs w:val="20"/>
        </w:rPr>
        <w:t xml:space="preserve">There is no study directly comparing sorafenib and lenvatinib for the management of advanced DTC and either option could be chosen for use.  In general lenvatinib is the preferred first-line of therapy, however, in view of longer disease control in the clinical trial and fewer symptomatic toxicities.  In the context of poorly controlled hypertension sorafenib may be a better choice of therapy.  </w:t>
      </w:r>
    </w:p>
    <w:p w:rsidR="00EE4202" w:rsidRPr="0006548F" w:rsidRDefault="00EE4202" w:rsidP="00CE3BDE">
      <w:pPr>
        <w:rPr>
          <w:rFonts w:ascii="Verdana" w:hAnsi="Verdana" w:cs="Arial"/>
          <w:sz w:val="20"/>
          <w:szCs w:val="20"/>
          <w:u w:val="single"/>
        </w:rPr>
      </w:pPr>
    </w:p>
    <w:p w:rsidR="0006548F" w:rsidRPr="0006548F" w:rsidRDefault="0006548F" w:rsidP="00CE3BDE">
      <w:pPr>
        <w:rPr>
          <w:rFonts w:ascii="Verdana" w:hAnsi="Verdana" w:cs="Arial"/>
          <w:sz w:val="20"/>
          <w:szCs w:val="20"/>
          <w:u w:val="single"/>
        </w:rPr>
      </w:pPr>
      <w:r w:rsidRPr="0006548F">
        <w:rPr>
          <w:rFonts w:ascii="Verdana" w:hAnsi="Verdana" w:cs="Arial"/>
          <w:sz w:val="20"/>
          <w:szCs w:val="20"/>
          <w:u w:val="single"/>
        </w:rPr>
        <w:t>Other TKIs</w:t>
      </w:r>
    </w:p>
    <w:p w:rsidR="0006548F" w:rsidRPr="0006548F" w:rsidRDefault="0006548F" w:rsidP="00CE3BDE">
      <w:pPr>
        <w:rPr>
          <w:rFonts w:ascii="Verdana" w:hAnsi="Verdana" w:cs="Arial"/>
          <w:sz w:val="20"/>
          <w:szCs w:val="20"/>
        </w:rPr>
      </w:pPr>
    </w:p>
    <w:p w:rsidR="0006548F" w:rsidRDefault="0006548F" w:rsidP="0006548F">
      <w:pPr>
        <w:rPr>
          <w:rFonts w:ascii="Verdana" w:eastAsia="MS Mincho" w:hAnsi="Verdana"/>
          <w:sz w:val="20"/>
          <w:szCs w:val="20"/>
          <w:lang w:val="en-GB" w:eastAsia="ja-JP"/>
        </w:rPr>
      </w:pPr>
      <w:r w:rsidRPr="0006548F">
        <w:rPr>
          <w:rFonts w:ascii="Verdana" w:hAnsi="Verdana" w:cs="Arial"/>
          <w:sz w:val="20"/>
          <w:szCs w:val="20"/>
        </w:rPr>
        <w:t xml:space="preserve">A randomized phase II trial of vandetanib in 145 patients with RAI-refractory DTC demonstrated a similar improvement in PFS to sorafenib.  </w:t>
      </w:r>
      <w:r w:rsidRPr="0006548F">
        <w:rPr>
          <w:rFonts w:ascii="Verdana" w:eastAsia="MS Mincho" w:hAnsi="Verdana"/>
          <w:sz w:val="20"/>
          <w:szCs w:val="20"/>
          <w:lang w:val="en-GB" w:eastAsia="ja-JP"/>
        </w:rPr>
        <w:t>Patients who received vandetanib had median PFS of</w:t>
      </w:r>
      <w:r>
        <w:rPr>
          <w:rFonts w:ascii="Verdana" w:eastAsia="MS Mincho" w:hAnsi="Verdana"/>
          <w:sz w:val="20"/>
          <w:szCs w:val="20"/>
          <w:lang w:val="en-GB" w:eastAsia="ja-JP"/>
        </w:rPr>
        <w:t xml:space="preserve"> </w:t>
      </w:r>
      <w:r w:rsidRPr="0006548F">
        <w:rPr>
          <w:rFonts w:ascii="Verdana" w:eastAsia="MS Mincho" w:hAnsi="Verdana"/>
          <w:sz w:val="20"/>
          <w:szCs w:val="20"/>
          <w:lang w:val="en-GB" w:eastAsia="ja-JP"/>
        </w:rPr>
        <w:t xml:space="preserve">11·1 months (95% CI 7·7–14·0) in comparison to 5·9 months (4·0–8·9) for patients in the placebo group.  Vandetanib is currently not licensed in this disease.  </w:t>
      </w:r>
    </w:p>
    <w:p w:rsidR="00F75E5B" w:rsidRDefault="00F75E5B" w:rsidP="0006548F">
      <w:pPr>
        <w:rPr>
          <w:rFonts w:ascii="Verdana" w:eastAsia="MS Mincho" w:hAnsi="Verdana"/>
          <w:sz w:val="20"/>
          <w:szCs w:val="20"/>
          <w:lang w:val="en-GB" w:eastAsia="ja-JP"/>
        </w:rPr>
      </w:pPr>
    </w:p>
    <w:p w:rsidR="00F75E5B" w:rsidRDefault="00F75E5B" w:rsidP="0006548F">
      <w:pPr>
        <w:rPr>
          <w:rFonts w:ascii="Verdana" w:eastAsia="MS Mincho" w:hAnsi="Verdana"/>
          <w:sz w:val="20"/>
          <w:szCs w:val="20"/>
          <w:lang w:val="en-GB" w:eastAsia="ja-JP"/>
        </w:rPr>
      </w:pPr>
      <w:r>
        <w:rPr>
          <w:rFonts w:ascii="Verdana" w:eastAsia="MS Mincho" w:hAnsi="Verdana"/>
          <w:sz w:val="20"/>
          <w:szCs w:val="20"/>
          <w:lang w:val="en-GB" w:eastAsia="ja-JP"/>
        </w:rPr>
        <w:lastRenderedPageBreak/>
        <w:t xml:space="preserve">There is also phase II data suggesting activity of other TKIs in this disease including axitinib, sunitinib and motesanib.  There is also evidence of the activity of vemurafenib in the context of patients with b-raf mutations.  </w:t>
      </w:r>
    </w:p>
    <w:p w:rsidR="0006548F" w:rsidRPr="00F75E5B" w:rsidRDefault="0006548F" w:rsidP="00CE3BDE">
      <w:pPr>
        <w:rPr>
          <w:rFonts w:ascii="Verdana" w:hAnsi="Verdana" w:cs="Arial"/>
          <w:sz w:val="20"/>
          <w:szCs w:val="20"/>
          <w:lang w:val="en-GB"/>
        </w:rPr>
      </w:pPr>
    </w:p>
    <w:p w:rsidR="008D200C" w:rsidRDefault="008D200C" w:rsidP="00CE3BDE">
      <w:pPr>
        <w:rPr>
          <w:rFonts w:ascii="Verdana" w:hAnsi="Verdana" w:cs="Arial"/>
          <w:sz w:val="20"/>
          <w:szCs w:val="20"/>
        </w:rPr>
      </w:pPr>
    </w:p>
    <w:p w:rsidR="00C9282E" w:rsidRDefault="00C9282E" w:rsidP="00CE3BDE">
      <w:pPr>
        <w:rPr>
          <w:rFonts w:ascii="Verdana" w:hAnsi="Verdana" w:cs="Arial"/>
          <w:sz w:val="20"/>
          <w:szCs w:val="20"/>
        </w:rPr>
      </w:pPr>
    </w:p>
    <w:p w:rsidR="00C9282E" w:rsidRPr="0006548F" w:rsidRDefault="00C9282E" w:rsidP="00CE3BDE">
      <w:pPr>
        <w:rPr>
          <w:rFonts w:ascii="Verdana" w:hAnsi="Verdana" w:cs="Arial"/>
          <w:sz w:val="20"/>
          <w:szCs w:val="20"/>
        </w:rPr>
      </w:pPr>
    </w:p>
    <w:p w:rsidR="008D200C" w:rsidRDefault="008D200C" w:rsidP="00CE3BDE">
      <w:pPr>
        <w:rPr>
          <w:rFonts w:ascii="Verdana" w:hAnsi="Verdana" w:cs="Arial"/>
          <w:sz w:val="20"/>
          <w:szCs w:val="20"/>
          <w:u w:val="single"/>
        </w:rPr>
      </w:pPr>
      <w:r w:rsidRPr="0006548F">
        <w:rPr>
          <w:rFonts w:ascii="Verdana" w:hAnsi="Verdana" w:cs="Arial"/>
          <w:sz w:val="20"/>
          <w:szCs w:val="20"/>
          <w:u w:val="single"/>
        </w:rPr>
        <w:t>Cytotoxic chemotherapy</w:t>
      </w:r>
    </w:p>
    <w:p w:rsidR="008D200C" w:rsidRDefault="00C61230" w:rsidP="00CE3BDE">
      <w:pPr>
        <w:rPr>
          <w:rFonts w:ascii="Verdana" w:hAnsi="Verdana" w:cs="Arial"/>
          <w:sz w:val="20"/>
          <w:szCs w:val="20"/>
        </w:rPr>
      </w:pPr>
      <w:r>
        <w:rPr>
          <w:rFonts w:ascii="Verdana" w:hAnsi="Verdana" w:cs="Arial"/>
          <w:sz w:val="20"/>
          <w:szCs w:val="20"/>
        </w:rPr>
        <w:t>There is no randomized evidence for a survival benefit in relation to cytotoxic chemotherapy in DTC</w:t>
      </w:r>
      <w:r w:rsidR="00394EB2">
        <w:rPr>
          <w:rFonts w:ascii="Verdana" w:hAnsi="Verdana" w:cs="Arial"/>
          <w:sz w:val="20"/>
          <w:szCs w:val="20"/>
        </w:rPr>
        <w:t xml:space="preserve">.  Cisplatin and doxorubicin both have some activity in this disease, with a radiological response rate for the combination of up to 26% (Shimaoka et al 1985), so it may occasionally be appropriate to consider systemic chemotherapy in the context of rapidly progressing, symptomatic disease.  </w:t>
      </w:r>
      <w:r>
        <w:rPr>
          <w:rFonts w:ascii="Verdana" w:hAnsi="Verdana" w:cs="Arial"/>
          <w:sz w:val="20"/>
          <w:szCs w:val="20"/>
        </w:rPr>
        <w:t xml:space="preserve"> </w:t>
      </w:r>
    </w:p>
    <w:p w:rsidR="00870DB1" w:rsidRPr="0006548F" w:rsidRDefault="00870DB1" w:rsidP="00CE3BDE">
      <w:pPr>
        <w:rPr>
          <w:rFonts w:ascii="Verdana" w:hAnsi="Verdana" w:cs="Arial"/>
          <w:sz w:val="20"/>
          <w:szCs w:val="20"/>
        </w:rPr>
      </w:pPr>
    </w:p>
    <w:p w:rsidR="008D200C" w:rsidRDefault="008D200C" w:rsidP="00CE3BDE">
      <w:pPr>
        <w:rPr>
          <w:rFonts w:ascii="Verdana" w:hAnsi="Verdana" w:cs="Arial"/>
          <w:sz w:val="20"/>
          <w:szCs w:val="20"/>
          <w:u w:val="single"/>
        </w:rPr>
      </w:pPr>
      <w:r w:rsidRPr="0006548F">
        <w:rPr>
          <w:rFonts w:ascii="Verdana" w:hAnsi="Verdana" w:cs="Arial"/>
          <w:sz w:val="20"/>
          <w:szCs w:val="20"/>
          <w:u w:val="single"/>
        </w:rPr>
        <w:t>Clinical Trials</w:t>
      </w:r>
    </w:p>
    <w:p w:rsidR="00C61230" w:rsidRPr="00C61230" w:rsidRDefault="00C61230" w:rsidP="00CE3BDE">
      <w:pPr>
        <w:rPr>
          <w:rFonts w:ascii="Verdana" w:hAnsi="Verdana" w:cs="Arial"/>
          <w:sz w:val="20"/>
          <w:szCs w:val="20"/>
        </w:rPr>
      </w:pPr>
      <w:r>
        <w:rPr>
          <w:rFonts w:ascii="Verdana" w:hAnsi="Verdana" w:cs="Arial"/>
          <w:sz w:val="20"/>
          <w:szCs w:val="20"/>
        </w:rPr>
        <w:t>Patients with RAI-refractory disease that has progressed after standard TKI therapies may be considered for clinical trials of novel agents.</w:t>
      </w:r>
    </w:p>
    <w:p w:rsidR="00CE3BDE" w:rsidRPr="0006548F" w:rsidRDefault="00CE3BDE" w:rsidP="00F85CD0">
      <w:pPr>
        <w:tabs>
          <w:tab w:val="left" w:pos="630"/>
        </w:tabs>
        <w:ind w:left="720" w:hanging="360"/>
        <w:rPr>
          <w:rFonts w:ascii="Verdana" w:hAnsi="Verdana" w:cs="Arial"/>
          <w:sz w:val="20"/>
          <w:szCs w:val="20"/>
          <w:lang w:val="en-GB"/>
        </w:rPr>
      </w:pPr>
    </w:p>
    <w:p w:rsidR="00FB600C" w:rsidRPr="0006548F" w:rsidRDefault="00FB600C" w:rsidP="00A92519">
      <w:pPr>
        <w:autoSpaceDE w:val="0"/>
        <w:autoSpaceDN w:val="0"/>
        <w:adjustRightInd w:val="0"/>
        <w:rPr>
          <w:rFonts w:ascii="Verdana" w:hAnsi="Verdana"/>
          <w:b/>
          <w:bCs/>
          <w:color w:val="FF0000"/>
          <w:sz w:val="20"/>
          <w:szCs w:val="20"/>
        </w:rPr>
      </w:pPr>
    </w:p>
    <w:p w:rsidR="005545BB" w:rsidRPr="00C61230" w:rsidRDefault="001606DA" w:rsidP="00A92519">
      <w:pPr>
        <w:autoSpaceDE w:val="0"/>
        <w:autoSpaceDN w:val="0"/>
        <w:adjustRightInd w:val="0"/>
        <w:rPr>
          <w:rFonts w:ascii="Verdana" w:hAnsi="Verdana"/>
          <w:b/>
          <w:bCs/>
          <w:sz w:val="20"/>
          <w:szCs w:val="20"/>
        </w:rPr>
      </w:pPr>
      <w:r>
        <w:rPr>
          <w:rFonts w:ascii="Verdana" w:hAnsi="Verdana"/>
          <w:b/>
          <w:bCs/>
          <w:sz w:val="20"/>
          <w:szCs w:val="20"/>
        </w:rPr>
        <w:t>Follow-Up</w:t>
      </w:r>
    </w:p>
    <w:p w:rsidR="00260809" w:rsidRDefault="002C15A9" w:rsidP="00783A0A">
      <w:pPr>
        <w:autoSpaceDE w:val="0"/>
        <w:autoSpaceDN w:val="0"/>
        <w:adjustRightInd w:val="0"/>
        <w:rPr>
          <w:rFonts w:ascii="Verdana" w:hAnsi="Verdana" w:cs="AdvPS94BA"/>
          <w:sz w:val="20"/>
          <w:szCs w:val="20"/>
        </w:rPr>
      </w:pPr>
      <w:r>
        <w:rPr>
          <w:rFonts w:ascii="Verdana" w:eastAsia="MS Mincho" w:hAnsi="Verdana" w:cs="AdvPS94BA"/>
          <w:sz w:val="20"/>
          <w:szCs w:val="20"/>
          <w:lang w:val="en-GB" w:eastAsia="ja-JP"/>
        </w:rPr>
        <w:t xml:space="preserve">The majority of patients are followed up at the Thyroid nodule/Cancer clinic at the RIE. Exceptions to this are patients undergoing external beam radiotherapy and SACT. Patients from outwith Lothian are generally followed up by their local teams. </w:t>
      </w:r>
      <w:r w:rsidR="00260809">
        <w:rPr>
          <w:rFonts w:ascii="Verdana" w:hAnsi="Verdana" w:cs="AdvPS94BA"/>
          <w:sz w:val="20"/>
          <w:szCs w:val="20"/>
        </w:rPr>
        <w:t>Patients with low-risk tumours, treated with surgery alone, do not require long-term follow-up or TSH suppression (see below).</w:t>
      </w:r>
    </w:p>
    <w:p w:rsidR="00260809" w:rsidRDefault="00260809" w:rsidP="00783A0A">
      <w:pPr>
        <w:autoSpaceDE w:val="0"/>
        <w:autoSpaceDN w:val="0"/>
        <w:adjustRightInd w:val="0"/>
        <w:rPr>
          <w:rFonts w:ascii="Verdana" w:hAnsi="Verdana" w:cs="AdvPS94BA"/>
          <w:sz w:val="20"/>
          <w:szCs w:val="20"/>
        </w:rPr>
      </w:pPr>
    </w:p>
    <w:p w:rsidR="004607CF" w:rsidRPr="001606DA" w:rsidRDefault="004607CF" w:rsidP="00783A0A">
      <w:pPr>
        <w:autoSpaceDE w:val="0"/>
        <w:autoSpaceDN w:val="0"/>
        <w:adjustRightInd w:val="0"/>
        <w:rPr>
          <w:rFonts w:ascii="Verdana" w:hAnsi="Verdana" w:cs="AdvPS94BA"/>
          <w:sz w:val="20"/>
          <w:szCs w:val="20"/>
          <w:u w:val="single"/>
        </w:rPr>
      </w:pPr>
      <w:r w:rsidRPr="001606DA">
        <w:rPr>
          <w:rFonts w:ascii="Verdana" w:hAnsi="Verdana" w:cs="AdvPS94BA"/>
          <w:sz w:val="20"/>
          <w:szCs w:val="20"/>
          <w:u w:val="single"/>
        </w:rPr>
        <w:t>Thyroglobulin</w:t>
      </w:r>
    </w:p>
    <w:p w:rsidR="00260809" w:rsidRDefault="00260809" w:rsidP="00783A0A">
      <w:pPr>
        <w:autoSpaceDE w:val="0"/>
        <w:autoSpaceDN w:val="0"/>
        <w:adjustRightInd w:val="0"/>
        <w:rPr>
          <w:rFonts w:ascii="Verdana" w:hAnsi="Verdana"/>
          <w:sz w:val="20"/>
          <w:szCs w:val="20"/>
        </w:rPr>
      </w:pPr>
      <w:r>
        <w:rPr>
          <w:rFonts w:ascii="Verdana" w:hAnsi="Verdana" w:cs="AdvPS94BA"/>
          <w:sz w:val="20"/>
          <w:szCs w:val="20"/>
        </w:rPr>
        <w:t>Patients should be seen at 3 months post-RAI, 6 mo</w:t>
      </w:r>
      <w:r w:rsidR="004607CF">
        <w:rPr>
          <w:rFonts w:ascii="Verdana" w:hAnsi="Verdana" w:cs="AdvPS94BA"/>
          <w:sz w:val="20"/>
          <w:szCs w:val="20"/>
        </w:rPr>
        <w:t xml:space="preserve">nths, 12 months and thereafter </w:t>
      </w:r>
      <w:r>
        <w:rPr>
          <w:rFonts w:ascii="Verdana" w:hAnsi="Verdana" w:cs="AdvPS94BA"/>
          <w:sz w:val="20"/>
          <w:szCs w:val="20"/>
        </w:rPr>
        <w:t xml:space="preserve">annually </w:t>
      </w:r>
      <w:r w:rsidR="004607CF">
        <w:rPr>
          <w:rFonts w:ascii="Verdana" w:hAnsi="Verdana" w:cs="AdvPS94BA"/>
          <w:sz w:val="20"/>
          <w:szCs w:val="20"/>
        </w:rPr>
        <w:t>if they have had a</w:t>
      </w:r>
      <w:r w:rsidR="00812C08">
        <w:rPr>
          <w:rFonts w:ascii="Verdana" w:hAnsi="Verdana" w:cs="AdvPS94BA"/>
          <w:sz w:val="20"/>
          <w:szCs w:val="20"/>
        </w:rPr>
        <w:t>n</w:t>
      </w:r>
      <w:r w:rsidR="004607CF">
        <w:rPr>
          <w:rFonts w:ascii="Verdana" w:hAnsi="Verdana" w:cs="AdvPS94BA"/>
          <w:sz w:val="20"/>
          <w:szCs w:val="20"/>
        </w:rPr>
        <w:t xml:space="preserve"> </w:t>
      </w:r>
      <w:r w:rsidR="00812C08">
        <w:rPr>
          <w:rFonts w:ascii="Verdana" w:hAnsi="Verdana" w:cs="AdvPS94BA"/>
          <w:sz w:val="20"/>
          <w:szCs w:val="20"/>
        </w:rPr>
        <w:t>excellent</w:t>
      </w:r>
      <w:r w:rsidR="004607CF">
        <w:rPr>
          <w:rFonts w:ascii="Verdana" w:hAnsi="Verdana" w:cs="AdvPS94BA"/>
          <w:sz w:val="20"/>
          <w:szCs w:val="20"/>
        </w:rPr>
        <w:t xml:space="preserve"> response to treatment</w:t>
      </w:r>
      <w:r w:rsidR="00812C08">
        <w:rPr>
          <w:rFonts w:ascii="Verdana" w:hAnsi="Verdana" w:cs="AdvPS94BA"/>
          <w:sz w:val="20"/>
          <w:szCs w:val="20"/>
        </w:rPr>
        <w:t xml:space="preserve"> (see below)</w:t>
      </w:r>
      <w:r w:rsidR="004607CF">
        <w:rPr>
          <w:rFonts w:ascii="Verdana" w:hAnsi="Verdana" w:cs="AdvPS94BA"/>
          <w:sz w:val="20"/>
          <w:szCs w:val="20"/>
        </w:rPr>
        <w:t>. TFT’s and Thyroglobulin should be measured at each clinic visit</w:t>
      </w:r>
      <w:r w:rsidR="00952C8B">
        <w:rPr>
          <w:rFonts w:ascii="Verdana" w:hAnsi="Verdana" w:cs="AdvPS94BA"/>
          <w:sz w:val="20"/>
          <w:szCs w:val="20"/>
        </w:rPr>
        <w:t>, using the Trak ‘Diff thyroid cancer’ orderset</w:t>
      </w:r>
      <w:r w:rsidR="004607CF">
        <w:rPr>
          <w:rFonts w:ascii="Verdana" w:hAnsi="Verdana" w:cs="AdvPS94BA"/>
          <w:sz w:val="20"/>
          <w:szCs w:val="20"/>
        </w:rPr>
        <w:t xml:space="preserve">. </w:t>
      </w:r>
      <w:r w:rsidR="004607CF" w:rsidRPr="00C61230">
        <w:rPr>
          <w:rFonts w:ascii="Verdana" w:hAnsi="Verdana"/>
          <w:sz w:val="20"/>
          <w:szCs w:val="20"/>
        </w:rPr>
        <w:t>Thyroglobulin is a</w:t>
      </w:r>
      <w:r w:rsidR="004607CF">
        <w:rPr>
          <w:rFonts w:ascii="Verdana" w:hAnsi="Verdana"/>
          <w:sz w:val="20"/>
          <w:szCs w:val="20"/>
        </w:rPr>
        <w:t>n</w:t>
      </w:r>
      <w:r w:rsidR="004607CF" w:rsidRPr="00C61230">
        <w:rPr>
          <w:rFonts w:ascii="Verdana" w:hAnsi="Verdana"/>
          <w:sz w:val="20"/>
          <w:szCs w:val="20"/>
        </w:rPr>
        <w:t xml:space="preserve"> </w:t>
      </w:r>
      <w:r w:rsidR="004607CF">
        <w:rPr>
          <w:rFonts w:ascii="Verdana" w:hAnsi="Verdana"/>
          <w:sz w:val="20"/>
          <w:szCs w:val="20"/>
        </w:rPr>
        <w:t>excellent</w:t>
      </w:r>
      <w:r w:rsidR="004607CF" w:rsidRPr="00C61230">
        <w:rPr>
          <w:rFonts w:ascii="Verdana" w:hAnsi="Verdana"/>
          <w:sz w:val="20"/>
          <w:szCs w:val="20"/>
        </w:rPr>
        <w:t xml:space="preserve"> marker of tumour recurrence after total thyroid ablation. </w:t>
      </w:r>
      <w:r w:rsidR="004607CF">
        <w:rPr>
          <w:rFonts w:ascii="Verdana" w:hAnsi="Verdana"/>
          <w:sz w:val="20"/>
          <w:szCs w:val="20"/>
        </w:rPr>
        <w:t>Thyroglobulin (T</w:t>
      </w:r>
      <w:r w:rsidR="00952C8B">
        <w:rPr>
          <w:rFonts w:ascii="Verdana" w:hAnsi="Verdana"/>
          <w:sz w:val="20"/>
          <w:szCs w:val="20"/>
        </w:rPr>
        <w:t>g</w:t>
      </w:r>
      <w:r w:rsidR="004607CF">
        <w:rPr>
          <w:rFonts w:ascii="Verdana" w:hAnsi="Verdana"/>
          <w:sz w:val="20"/>
          <w:szCs w:val="20"/>
        </w:rPr>
        <w:t>) is measured by two methods – the high-sensitivity</w:t>
      </w:r>
      <w:r w:rsidR="004607CF" w:rsidRPr="004607CF">
        <w:rPr>
          <w:rFonts w:ascii="Verdana" w:hAnsi="Verdana"/>
          <w:sz w:val="20"/>
          <w:szCs w:val="20"/>
        </w:rPr>
        <w:t xml:space="preserve"> </w:t>
      </w:r>
      <w:r w:rsidR="004607CF">
        <w:rPr>
          <w:rFonts w:ascii="Verdana" w:hAnsi="Verdana"/>
          <w:sz w:val="20"/>
          <w:szCs w:val="20"/>
        </w:rPr>
        <w:t>radio-immunometric ‘Access’ assay in Edinburgh and the low-sensitivity radio-immunoassay in Birmingham. 10% of patients will have antibodies against T</w:t>
      </w:r>
      <w:r w:rsidR="00952C8B">
        <w:rPr>
          <w:rFonts w:ascii="Verdana" w:hAnsi="Verdana"/>
          <w:sz w:val="20"/>
          <w:szCs w:val="20"/>
        </w:rPr>
        <w:t>g</w:t>
      </w:r>
      <w:r w:rsidR="004607CF">
        <w:rPr>
          <w:rFonts w:ascii="Verdana" w:hAnsi="Verdana"/>
          <w:sz w:val="20"/>
          <w:szCs w:val="20"/>
        </w:rPr>
        <w:t xml:space="preserve"> which interferes with and invalidates the TG results. Antibody interference is detected by looking for discordance between the two assays. The Edinburgh assay reads low in the presence of antibodies, while the Birmingham assay reads high. Therefore, a ty</w:t>
      </w:r>
      <w:r w:rsidR="00276ED7">
        <w:rPr>
          <w:rFonts w:ascii="Verdana" w:hAnsi="Verdana"/>
          <w:sz w:val="20"/>
          <w:szCs w:val="20"/>
        </w:rPr>
        <w:t>pical example of antibody inter</w:t>
      </w:r>
      <w:r w:rsidR="004607CF">
        <w:rPr>
          <w:rFonts w:ascii="Verdana" w:hAnsi="Verdana"/>
          <w:sz w:val="20"/>
          <w:szCs w:val="20"/>
        </w:rPr>
        <w:t>ference would be Edinburgh &lt;0.1 and Birmingham &gt;5.0. The alternate pattern of discordance, with a detectable value on the Edinburgh assay and an undetectable value on the Birmingham assay is simpl</w:t>
      </w:r>
      <w:r w:rsidR="00276ED7">
        <w:rPr>
          <w:rFonts w:ascii="Verdana" w:hAnsi="Verdana"/>
          <w:sz w:val="20"/>
          <w:szCs w:val="20"/>
        </w:rPr>
        <w:t xml:space="preserve">y </w:t>
      </w:r>
      <w:r w:rsidR="004607CF">
        <w:rPr>
          <w:rFonts w:ascii="Verdana" w:hAnsi="Verdana"/>
          <w:sz w:val="20"/>
          <w:szCs w:val="20"/>
        </w:rPr>
        <w:t xml:space="preserve">a consequence of the differential </w:t>
      </w:r>
      <w:r w:rsidR="00276ED7">
        <w:rPr>
          <w:rFonts w:ascii="Verdana" w:hAnsi="Verdana"/>
          <w:sz w:val="20"/>
          <w:szCs w:val="20"/>
        </w:rPr>
        <w:t xml:space="preserve">functional sensitivity </w:t>
      </w:r>
      <w:r w:rsidR="004607CF">
        <w:rPr>
          <w:rFonts w:ascii="Verdana" w:hAnsi="Verdana"/>
          <w:sz w:val="20"/>
          <w:szCs w:val="20"/>
        </w:rPr>
        <w:t>of the two assays</w:t>
      </w:r>
      <w:r w:rsidR="00EE1A45">
        <w:rPr>
          <w:rFonts w:ascii="Verdana" w:hAnsi="Verdana"/>
          <w:sz w:val="20"/>
          <w:szCs w:val="20"/>
        </w:rPr>
        <w:t xml:space="preserve"> (very, very rarely this pattern can occur as a consequence of antibody interference)</w:t>
      </w:r>
      <w:r w:rsidR="004607CF">
        <w:rPr>
          <w:rFonts w:ascii="Verdana" w:hAnsi="Verdana"/>
          <w:sz w:val="20"/>
          <w:szCs w:val="20"/>
        </w:rPr>
        <w:t>.</w:t>
      </w:r>
      <w:r w:rsidR="00276ED7">
        <w:rPr>
          <w:rFonts w:ascii="Verdana" w:hAnsi="Verdana"/>
          <w:sz w:val="20"/>
          <w:szCs w:val="20"/>
        </w:rPr>
        <w:t xml:space="preserve"> A detectable Tg </w:t>
      </w:r>
      <w:r w:rsidR="00EE1A45">
        <w:rPr>
          <w:rFonts w:ascii="Verdana" w:hAnsi="Verdana"/>
          <w:sz w:val="20"/>
          <w:szCs w:val="20"/>
        </w:rPr>
        <w:t xml:space="preserve">(&gt;0.1) </w:t>
      </w:r>
      <w:r w:rsidR="00276ED7">
        <w:rPr>
          <w:rFonts w:ascii="Verdana" w:hAnsi="Verdana"/>
          <w:sz w:val="20"/>
          <w:szCs w:val="20"/>
        </w:rPr>
        <w:t xml:space="preserve">on the </w:t>
      </w:r>
      <w:r w:rsidR="00EE1A45">
        <w:rPr>
          <w:rFonts w:ascii="Verdana" w:hAnsi="Verdana"/>
          <w:sz w:val="20"/>
          <w:szCs w:val="20"/>
        </w:rPr>
        <w:t>Edinburgh</w:t>
      </w:r>
      <w:r w:rsidR="00276ED7">
        <w:rPr>
          <w:rFonts w:ascii="Verdana" w:hAnsi="Verdana"/>
          <w:sz w:val="20"/>
          <w:szCs w:val="20"/>
        </w:rPr>
        <w:t xml:space="preserve"> assay has a 33% PPV for recurrent/residual disease; a rising Tg trend has much greater PPV for recurrent/residual disease. A Tg &lt;0.1 on the </w:t>
      </w:r>
      <w:r w:rsidR="00EE1A45">
        <w:rPr>
          <w:rFonts w:ascii="Verdana" w:hAnsi="Verdana"/>
          <w:sz w:val="20"/>
          <w:szCs w:val="20"/>
        </w:rPr>
        <w:t>Edinburgh</w:t>
      </w:r>
      <w:r w:rsidR="00276ED7">
        <w:rPr>
          <w:rFonts w:ascii="Verdana" w:hAnsi="Verdana"/>
          <w:sz w:val="20"/>
          <w:szCs w:val="20"/>
        </w:rPr>
        <w:t xml:space="preserve"> assay has a NPV of almost 100%. There is no requirement for routine use of Thyrogen stimulation to </w:t>
      </w:r>
      <w:r w:rsidR="00EE1A45">
        <w:rPr>
          <w:rFonts w:ascii="Verdana" w:hAnsi="Verdana"/>
          <w:sz w:val="20"/>
          <w:szCs w:val="20"/>
        </w:rPr>
        <w:t>enhance functional sensitivity of the Edinburgh assay, but it can be used to confirm antibody interference (though this is rarely required).</w:t>
      </w:r>
    </w:p>
    <w:p w:rsidR="004607CF" w:rsidRDefault="004607CF" w:rsidP="00783A0A">
      <w:pPr>
        <w:autoSpaceDE w:val="0"/>
        <w:autoSpaceDN w:val="0"/>
        <w:adjustRightInd w:val="0"/>
        <w:rPr>
          <w:rFonts w:ascii="Verdana" w:hAnsi="Verdana"/>
          <w:sz w:val="20"/>
          <w:szCs w:val="20"/>
        </w:rPr>
      </w:pPr>
    </w:p>
    <w:p w:rsidR="004607CF" w:rsidRPr="001606DA" w:rsidRDefault="004607CF" w:rsidP="00783A0A">
      <w:pPr>
        <w:autoSpaceDE w:val="0"/>
        <w:autoSpaceDN w:val="0"/>
        <w:adjustRightInd w:val="0"/>
        <w:rPr>
          <w:rFonts w:ascii="Verdana" w:hAnsi="Verdana"/>
          <w:sz w:val="20"/>
          <w:szCs w:val="20"/>
          <w:u w:val="single"/>
        </w:rPr>
      </w:pPr>
      <w:r w:rsidRPr="001606DA">
        <w:rPr>
          <w:rFonts w:ascii="Verdana" w:hAnsi="Verdana"/>
          <w:sz w:val="20"/>
          <w:szCs w:val="20"/>
          <w:u w:val="single"/>
        </w:rPr>
        <w:t>Imaging</w:t>
      </w:r>
    </w:p>
    <w:p w:rsidR="004607CF" w:rsidRDefault="004607CF" w:rsidP="00783A0A">
      <w:pPr>
        <w:autoSpaceDE w:val="0"/>
        <w:autoSpaceDN w:val="0"/>
        <w:adjustRightInd w:val="0"/>
        <w:rPr>
          <w:rFonts w:ascii="Verdana" w:eastAsia="MS Mincho" w:hAnsi="Verdana" w:cs="AdvPS94BA"/>
          <w:sz w:val="20"/>
          <w:szCs w:val="20"/>
          <w:lang w:val="en-GB" w:eastAsia="ja-JP"/>
        </w:rPr>
      </w:pPr>
      <w:r>
        <w:rPr>
          <w:rFonts w:ascii="Verdana" w:hAnsi="Verdana"/>
          <w:sz w:val="20"/>
          <w:szCs w:val="20"/>
        </w:rPr>
        <w:t>Patients with an interference pattern on the T</w:t>
      </w:r>
      <w:r w:rsidR="0054744F">
        <w:rPr>
          <w:rFonts w:ascii="Verdana" w:hAnsi="Verdana"/>
          <w:sz w:val="20"/>
          <w:szCs w:val="20"/>
        </w:rPr>
        <w:t>g</w:t>
      </w:r>
      <w:r>
        <w:rPr>
          <w:rFonts w:ascii="Verdana" w:hAnsi="Verdana"/>
          <w:sz w:val="20"/>
          <w:szCs w:val="20"/>
        </w:rPr>
        <w:t xml:space="preserve"> assay should have an early neck USS to look for residual disease. Patients with undetectable T</w:t>
      </w:r>
      <w:r w:rsidR="0054744F">
        <w:rPr>
          <w:rFonts w:ascii="Verdana" w:hAnsi="Verdana"/>
          <w:sz w:val="20"/>
          <w:szCs w:val="20"/>
        </w:rPr>
        <w:t>g</w:t>
      </w:r>
      <w:r>
        <w:rPr>
          <w:rFonts w:ascii="Verdana" w:hAnsi="Verdana"/>
          <w:sz w:val="20"/>
          <w:szCs w:val="20"/>
        </w:rPr>
        <w:t xml:space="preserve"> by both assays should have a neck USS prior to the 12 month follow-up assay. The purpose of this scan is to detect the unlikely </w:t>
      </w:r>
      <w:r>
        <w:rPr>
          <w:rFonts w:ascii="Verdana" w:hAnsi="Verdana"/>
          <w:sz w:val="20"/>
          <w:szCs w:val="20"/>
        </w:rPr>
        <w:lastRenderedPageBreak/>
        <w:t>occurrence of T</w:t>
      </w:r>
      <w:r w:rsidR="0054744F">
        <w:rPr>
          <w:rFonts w:ascii="Verdana" w:hAnsi="Verdana"/>
          <w:sz w:val="20"/>
          <w:szCs w:val="20"/>
        </w:rPr>
        <w:t>g</w:t>
      </w:r>
      <w:r>
        <w:rPr>
          <w:rFonts w:ascii="Verdana" w:hAnsi="Verdana"/>
          <w:sz w:val="20"/>
          <w:szCs w:val="20"/>
        </w:rPr>
        <w:t xml:space="preserve"> negative residual disease. Thyrogen-stimulated T</w:t>
      </w:r>
      <w:r w:rsidR="00952C8B">
        <w:rPr>
          <w:rFonts w:ascii="Verdana" w:hAnsi="Verdana"/>
          <w:sz w:val="20"/>
          <w:szCs w:val="20"/>
        </w:rPr>
        <w:t>g</w:t>
      </w:r>
      <w:r>
        <w:rPr>
          <w:rFonts w:ascii="Verdana" w:hAnsi="Verdana"/>
          <w:sz w:val="20"/>
          <w:szCs w:val="20"/>
        </w:rPr>
        <w:t xml:space="preserve"> measurements and repeat WBS are not routinely required.</w:t>
      </w:r>
    </w:p>
    <w:p w:rsidR="00260809" w:rsidRDefault="00260809" w:rsidP="00783A0A">
      <w:pPr>
        <w:autoSpaceDE w:val="0"/>
        <w:autoSpaceDN w:val="0"/>
        <w:adjustRightInd w:val="0"/>
        <w:rPr>
          <w:rFonts w:ascii="Verdana" w:eastAsia="MS Mincho" w:hAnsi="Verdana" w:cs="AdvPS94BA"/>
          <w:sz w:val="20"/>
          <w:szCs w:val="20"/>
          <w:lang w:val="en-GB" w:eastAsia="ja-JP"/>
        </w:rPr>
      </w:pPr>
    </w:p>
    <w:p w:rsidR="004607CF" w:rsidRPr="001606DA" w:rsidRDefault="0024756F" w:rsidP="004607CF">
      <w:pPr>
        <w:autoSpaceDE w:val="0"/>
        <w:autoSpaceDN w:val="0"/>
        <w:adjustRightInd w:val="0"/>
        <w:rPr>
          <w:rFonts w:ascii="Verdana" w:hAnsi="Verdana"/>
          <w:sz w:val="20"/>
          <w:szCs w:val="20"/>
          <w:u w:val="single"/>
        </w:rPr>
      </w:pPr>
      <w:r>
        <w:rPr>
          <w:rFonts w:ascii="Verdana" w:hAnsi="Verdana"/>
          <w:sz w:val="20"/>
          <w:szCs w:val="20"/>
          <w:u w:val="single"/>
        </w:rPr>
        <w:t xml:space="preserve">Dynamic Risk Stratification: </w:t>
      </w:r>
      <w:r w:rsidR="001606DA">
        <w:rPr>
          <w:rFonts w:ascii="Verdana" w:hAnsi="Verdana"/>
          <w:sz w:val="20"/>
          <w:szCs w:val="20"/>
          <w:u w:val="single"/>
        </w:rPr>
        <w:t xml:space="preserve">Excellent </w:t>
      </w:r>
      <w:r w:rsidR="004607CF" w:rsidRPr="001606DA">
        <w:rPr>
          <w:rFonts w:ascii="Verdana" w:hAnsi="Verdana"/>
          <w:sz w:val="20"/>
          <w:szCs w:val="20"/>
          <w:u w:val="single"/>
        </w:rPr>
        <w:t>Response to Treatment and TSH Suppression</w:t>
      </w:r>
    </w:p>
    <w:p w:rsidR="002C15A9" w:rsidRDefault="002C15A9" w:rsidP="004607CF">
      <w:pPr>
        <w:autoSpaceDE w:val="0"/>
        <w:autoSpaceDN w:val="0"/>
        <w:adjustRightInd w:val="0"/>
        <w:rPr>
          <w:rFonts w:ascii="Verdana" w:hAnsi="Verdana"/>
          <w:sz w:val="20"/>
          <w:szCs w:val="20"/>
        </w:rPr>
      </w:pPr>
      <w:r w:rsidRPr="00C61230">
        <w:rPr>
          <w:rFonts w:ascii="Verdana" w:hAnsi="Verdana"/>
          <w:sz w:val="20"/>
          <w:szCs w:val="20"/>
        </w:rPr>
        <w:t>After thyroidectomy and radioiodine ablation, patients with well-differentiated thyroid carcinoma are ma</w:t>
      </w:r>
      <w:r w:rsidR="00812C08">
        <w:rPr>
          <w:rFonts w:ascii="Verdana" w:hAnsi="Verdana"/>
          <w:sz w:val="20"/>
          <w:szCs w:val="20"/>
        </w:rPr>
        <w:t xml:space="preserve">intained on </w:t>
      </w:r>
      <w:r w:rsidRPr="00C61230">
        <w:rPr>
          <w:rFonts w:ascii="Verdana" w:hAnsi="Verdana"/>
          <w:sz w:val="20"/>
          <w:szCs w:val="20"/>
        </w:rPr>
        <w:t>T4 in daily doses sufficient to suppress TSH production</w:t>
      </w:r>
      <w:r w:rsidR="004607CF">
        <w:rPr>
          <w:rFonts w:ascii="Verdana" w:hAnsi="Verdana"/>
          <w:sz w:val="20"/>
          <w:szCs w:val="20"/>
        </w:rPr>
        <w:t xml:space="preserve"> (usually 150-200 mcg/day)</w:t>
      </w:r>
      <w:r w:rsidRPr="00C61230">
        <w:rPr>
          <w:rFonts w:ascii="Verdana" w:hAnsi="Verdana"/>
          <w:sz w:val="20"/>
          <w:szCs w:val="20"/>
        </w:rPr>
        <w:t xml:space="preserve">. </w:t>
      </w:r>
      <w:r w:rsidR="0024756F">
        <w:rPr>
          <w:rFonts w:ascii="Verdana" w:hAnsi="Verdana"/>
          <w:sz w:val="20"/>
          <w:szCs w:val="20"/>
        </w:rPr>
        <w:t>At 12 months, patients risk of recurrence should be re-evaluated in light of the prevailing T</w:t>
      </w:r>
      <w:r w:rsidR="0054744F">
        <w:rPr>
          <w:rFonts w:ascii="Verdana" w:hAnsi="Verdana"/>
          <w:sz w:val="20"/>
          <w:szCs w:val="20"/>
        </w:rPr>
        <w:t>g</w:t>
      </w:r>
      <w:r w:rsidR="0024756F">
        <w:rPr>
          <w:rFonts w:ascii="Verdana" w:hAnsi="Verdana"/>
          <w:sz w:val="20"/>
          <w:szCs w:val="20"/>
        </w:rPr>
        <w:t xml:space="preserve"> levels and the USS neck findings; this is known as dynamic risk stratification. </w:t>
      </w:r>
      <w:r w:rsidR="004607CF">
        <w:rPr>
          <w:rFonts w:ascii="Verdana" w:hAnsi="Verdana"/>
          <w:sz w:val="20"/>
          <w:szCs w:val="20"/>
        </w:rPr>
        <w:t xml:space="preserve">Patients with </w:t>
      </w:r>
      <w:r w:rsidR="00812C08">
        <w:rPr>
          <w:rFonts w:ascii="Verdana" w:hAnsi="Verdana"/>
          <w:sz w:val="20"/>
          <w:szCs w:val="20"/>
        </w:rPr>
        <w:t xml:space="preserve">an </w:t>
      </w:r>
      <w:r w:rsidR="0024756F">
        <w:rPr>
          <w:rFonts w:ascii="Verdana" w:hAnsi="Verdana"/>
          <w:sz w:val="20"/>
          <w:szCs w:val="20"/>
        </w:rPr>
        <w:t>‘</w:t>
      </w:r>
      <w:r w:rsidR="00812C08">
        <w:rPr>
          <w:rFonts w:ascii="Verdana" w:hAnsi="Verdana"/>
          <w:sz w:val="20"/>
          <w:szCs w:val="20"/>
        </w:rPr>
        <w:t>excellent response to treatment</w:t>
      </w:r>
      <w:r w:rsidR="0024756F">
        <w:rPr>
          <w:rFonts w:ascii="Verdana" w:hAnsi="Verdana"/>
          <w:sz w:val="20"/>
          <w:szCs w:val="20"/>
        </w:rPr>
        <w:t>’</w:t>
      </w:r>
      <w:r w:rsidR="00812C08">
        <w:rPr>
          <w:rFonts w:ascii="Verdana" w:hAnsi="Verdana"/>
          <w:sz w:val="20"/>
          <w:szCs w:val="20"/>
        </w:rPr>
        <w:t>, i.e. a normal 12 month neck USS and undetectable T</w:t>
      </w:r>
      <w:r w:rsidR="0054744F">
        <w:rPr>
          <w:rFonts w:ascii="Verdana" w:hAnsi="Verdana"/>
          <w:sz w:val="20"/>
          <w:szCs w:val="20"/>
        </w:rPr>
        <w:t>g</w:t>
      </w:r>
      <w:r w:rsidR="00812C08">
        <w:rPr>
          <w:rFonts w:ascii="Verdana" w:hAnsi="Verdana"/>
          <w:sz w:val="20"/>
          <w:szCs w:val="20"/>
        </w:rPr>
        <w:t xml:space="preserve"> by both assays, do not require TSH suppression beyond 12 months and a target TSH of 0.3-2 is appropriate. Patients with an excellent response, but with high risk histological subtypes may benefit from longer-term TSH suppression. TSH suppression in the long term is associated with an increased risk of atrial fibrillation and osteoporosis. </w:t>
      </w:r>
    </w:p>
    <w:p w:rsidR="00812C08" w:rsidRDefault="00812C08" w:rsidP="004607CF">
      <w:pPr>
        <w:autoSpaceDE w:val="0"/>
        <w:autoSpaceDN w:val="0"/>
        <w:adjustRightInd w:val="0"/>
        <w:rPr>
          <w:rFonts w:ascii="Verdana" w:hAnsi="Verdana"/>
          <w:sz w:val="20"/>
          <w:szCs w:val="20"/>
        </w:rPr>
      </w:pPr>
      <w:r>
        <w:rPr>
          <w:rFonts w:ascii="Verdana" w:hAnsi="Verdana"/>
          <w:sz w:val="20"/>
          <w:szCs w:val="20"/>
        </w:rPr>
        <w:t xml:space="preserve">Patients </w:t>
      </w:r>
      <w:r w:rsidR="0054744F">
        <w:rPr>
          <w:rFonts w:ascii="Verdana" w:hAnsi="Verdana"/>
          <w:sz w:val="20"/>
          <w:szCs w:val="20"/>
        </w:rPr>
        <w:t xml:space="preserve">with initial stage 1 disease and </w:t>
      </w:r>
      <w:r>
        <w:rPr>
          <w:rFonts w:ascii="Verdana" w:hAnsi="Verdana"/>
          <w:sz w:val="20"/>
          <w:szCs w:val="20"/>
        </w:rPr>
        <w:t>who have maintain</w:t>
      </w:r>
      <w:r w:rsidR="0054744F">
        <w:rPr>
          <w:rFonts w:ascii="Verdana" w:hAnsi="Verdana"/>
          <w:sz w:val="20"/>
          <w:szCs w:val="20"/>
        </w:rPr>
        <w:t>ed</w:t>
      </w:r>
      <w:r>
        <w:rPr>
          <w:rFonts w:ascii="Verdana" w:hAnsi="Verdana"/>
          <w:sz w:val="20"/>
          <w:szCs w:val="20"/>
        </w:rPr>
        <w:t xml:space="preserve"> undetectable T</w:t>
      </w:r>
      <w:r w:rsidR="0054744F">
        <w:rPr>
          <w:rFonts w:ascii="Verdana" w:hAnsi="Verdana"/>
          <w:sz w:val="20"/>
          <w:szCs w:val="20"/>
        </w:rPr>
        <w:t>g</w:t>
      </w:r>
      <w:r>
        <w:rPr>
          <w:rFonts w:ascii="Verdana" w:hAnsi="Verdana"/>
          <w:sz w:val="20"/>
          <w:szCs w:val="20"/>
        </w:rPr>
        <w:t xml:space="preserve"> levels may be discharged to the Virtual follow-up clinic after </w:t>
      </w:r>
      <w:r w:rsidR="0054744F">
        <w:rPr>
          <w:rFonts w:ascii="Verdana" w:hAnsi="Verdana"/>
          <w:sz w:val="20"/>
          <w:szCs w:val="20"/>
        </w:rPr>
        <w:t>5</w:t>
      </w:r>
      <w:r>
        <w:rPr>
          <w:rFonts w:ascii="Verdana" w:hAnsi="Verdana"/>
          <w:sz w:val="20"/>
          <w:szCs w:val="20"/>
        </w:rPr>
        <w:t xml:space="preserve"> years. </w:t>
      </w:r>
    </w:p>
    <w:p w:rsidR="004607CF" w:rsidRDefault="004607CF" w:rsidP="004607CF">
      <w:pPr>
        <w:autoSpaceDE w:val="0"/>
        <w:autoSpaceDN w:val="0"/>
        <w:adjustRightInd w:val="0"/>
        <w:rPr>
          <w:rFonts w:ascii="Verdana" w:hAnsi="Verdana"/>
          <w:sz w:val="20"/>
          <w:szCs w:val="20"/>
        </w:rPr>
      </w:pPr>
    </w:p>
    <w:p w:rsidR="004607CF" w:rsidRPr="001606DA" w:rsidRDefault="00812C08" w:rsidP="004607CF">
      <w:pPr>
        <w:autoSpaceDE w:val="0"/>
        <w:autoSpaceDN w:val="0"/>
        <w:adjustRightInd w:val="0"/>
        <w:rPr>
          <w:rFonts w:ascii="Verdana" w:hAnsi="Verdana"/>
          <w:sz w:val="20"/>
          <w:szCs w:val="20"/>
          <w:u w:val="single"/>
        </w:rPr>
      </w:pPr>
      <w:r w:rsidRPr="001606DA">
        <w:rPr>
          <w:rFonts w:ascii="Verdana" w:hAnsi="Verdana"/>
          <w:sz w:val="20"/>
          <w:szCs w:val="20"/>
          <w:u w:val="single"/>
        </w:rPr>
        <w:t>Incomplete Response to Treatment</w:t>
      </w:r>
    </w:p>
    <w:p w:rsidR="00783A0A" w:rsidRPr="00B821F3" w:rsidRDefault="00783A0A" w:rsidP="00783A0A">
      <w:pPr>
        <w:autoSpaceDE w:val="0"/>
        <w:autoSpaceDN w:val="0"/>
        <w:adjustRightInd w:val="0"/>
        <w:rPr>
          <w:rFonts w:ascii="Verdana" w:eastAsia="MS Mincho" w:hAnsi="Verdana" w:cs="AdvPS94BA"/>
          <w:sz w:val="20"/>
          <w:szCs w:val="20"/>
          <w:lang w:val="en-GB" w:eastAsia="ja-JP"/>
        </w:rPr>
      </w:pPr>
      <w:r w:rsidRPr="00B821F3">
        <w:rPr>
          <w:rFonts w:ascii="Verdana" w:eastAsia="MS Mincho" w:hAnsi="Verdana" w:cs="AdvPS94BA"/>
          <w:sz w:val="20"/>
          <w:szCs w:val="20"/>
          <w:lang w:val="en-GB" w:eastAsia="ja-JP"/>
        </w:rPr>
        <w:t xml:space="preserve">Patients with an incomplete response to RAI (detectable </w:t>
      </w:r>
      <w:r w:rsidR="00812C08">
        <w:rPr>
          <w:rFonts w:ascii="Verdana" w:eastAsia="MS Mincho" w:hAnsi="Verdana" w:cs="AdvPS94BA"/>
          <w:sz w:val="20"/>
          <w:szCs w:val="20"/>
          <w:lang w:val="en-GB" w:eastAsia="ja-JP"/>
        </w:rPr>
        <w:t>T</w:t>
      </w:r>
      <w:r w:rsidR="0054744F">
        <w:rPr>
          <w:rFonts w:ascii="Verdana" w:eastAsia="MS Mincho" w:hAnsi="Verdana" w:cs="AdvPS94BA"/>
          <w:sz w:val="20"/>
          <w:szCs w:val="20"/>
          <w:lang w:val="en-GB" w:eastAsia="ja-JP"/>
        </w:rPr>
        <w:t>g</w:t>
      </w:r>
      <w:r w:rsidR="00812C08">
        <w:rPr>
          <w:rFonts w:ascii="Verdana" w:eastAsia="MS Mincho" w:hAnsi="Verdana" w:cs="AdvPS94BA"/>
          <w:sz w:val="20"/>
          <w:szCs w:val="20"/>
          <w:lang w:val="en-GB" w:eastAsia="ja-JP"/>
        </w:rPr>
        <w:t xml:space="preserve"> in the absence of antibody interference)</w:t>
      </w:r>
      <w:r w:rsidRPr="00B821F3">
        <w:rPr>
          <w:rFonts w:ascii="Verdana" w:eastAsia="MS Mincho" w:hAnsi="Verdana" w:cs="AdvPS94BA"/>
          <w:sz w:val="20"/>
          <w:szCs w:val="20"/>
          <w:lang w:val="en-GB" w:eastAsia="ja-JP"/>
        </w:rPr>
        <w:t xml:space="preserve"> require </w:t>
      </w:r>
      <w:r w:rsidR="00516A08">
        <w:rPr>
          <w:rFonts w:ascii="Verdana" w:eastAsia="MS Mincho" w:hAnsi="Verdana" w:cs="AdvPS94BA"/>
          <w:sz w:val="20"/>
          <w:szCs w:val="20"/>
          <w:lang w:val="en-GB" w:eastAsia="ja-JP"/>
        </w:rPr>
        <w:t xml:space="preserve">initial investigation with neck USS. </w:t>
      </w:r>
      <w:r w:rsidRPr="00B821F3">
        <w:rPr>
          <w:rFonts w:ascii="Verdana" w:eastAsia="MS Mincho" w:hAnsi="Verdana" w:cs="AdvPS94BA"/>
          <w:sz w:val="20"/>
          <w:szCs w:val="20"/>
          <w:lang w:val="en-GB" w:eastAsia="ja-JP"/>
        </w:rPr>
        <w:t xml:space="preserve"> </w:t>
      </w:r>
      <w:r w:rsidR="00516A08">
        <w:rPr>
          <w:rFonts w:ascii="Verdana" w:eastAsia="MS Mincho" w:hAnsi="Verdana" w:cs="AdvPS94BA"/>
          <w:sz w:val="20"/>
          <w:szCs w:val="20"/>
          <w:lang w:val="en-GB" w:eastAsia="ja-JP"/>
        </w:rPr>
        <w:t>The extent of further investigation</w:t>
      </w:r>
      <w:r w:rsidRPr="00B821F3">
        <w:rPr>
          <w:rFonts w:ascii="Verdana" w:eastAsia="MS Mincho" w:hAnsi="Verdana" w:cs="AdvPS94BA"/>
          <w:sz w:val="20"/>
          <w:szCs w:val="20"/>
          <w:lang w:val="en-GB" w:eastAsia="ja-JP"/>
        </w:rPr>
        <w:t xml:space="preserve"> </w:t>
      </w:r>
      <w:r w:rsidR="00516A08">
        <w:rPr>
          <w:rFonts w:ascii="Verdana" w:eastAsia="MS Mincho" w:hAnsi="Verdana" w:cs="AdvPS94BA"/>
          <w:sz w:val="20"/>
          <w:szCs w:val="20"/>
          <w:lang w:val="en-GB" w:eastAsia="ja-JP"/>
        </w:rPr>
        <w:t xml:space="preserve">with </w:t>
      </w:r>
      <w:r w:rsidRPr="00B821F3">
        <w:rPr>
          <w:rFonts w:ascii="Verdana" w:eastAsia="MS Mincho" w:hAnsi="Verdana" w:cs="AdvPS94BA"/>
          <w:sz w:val="20"/>
          <w:szCs w:val="20"/>
          <w:lang w:val="en-GB" w:eastAsia="ja-JP"/>
        </w:rPr>
        <w:t>cross-sectional imaging, RAI imaging and FDG-PET imaging</w:t>
      </w:r>
      <w:r w:rsidR="00516A08">
        <w:rPr>
          <w:rFonts w:ascii="Verdana" w:eastAsia="MS Mincho" w:hAnsi="Verdana" w:cs="AdvPS94BA"/>
          <w:sz w:val="20"/>
          <w:szCs w:val="20"/>
          <w:lang w:val="en-GB" w:eastAsia="ja-JP"/>
        </w:rPr>
        <w:t xml:space="preserve"> depends on the trend of TG levels, the absolute levels and the general well-being of the patient. </w:t>
      </w:r>
      <w:r w:rsidRPr="00B821F3">
        <w:rPr>
          <w:rFonts w:ascii="Verdana" w:eastAsia="MS Mincho" w:hAnsi="Verdana" w:cs="AdvPS94BA"/>
          <w:sz w:val="20"/>
          <w:szCs w:val="20"/>
          <w:lang w:val="en-GB" w:eastAsia="ja-JP"/>
        </w:rPr>
        <w:t>The majority of patients with an incomplete response to RAI will require additional therapy such as surgical resection, further RAI therapy, external beam irradiation and</w:t>
      </w:r>
      <w:r w:rsidR="00516A08">
        <w:rPr>
          <w:rFonts w:ascii="Verdana" w:eastAsia="MS Mincho" w:hAnsi="Verdana" w:cs="AdvPS94BA"/>
          <w:sz w:val="20"/>
          <w:szCs w:val="20"/>
          <w:lang w:val="en-GB" w:eastAsia="ja-JP"/>
        </w:rPr>
        <w:t>/or</w:t>
      </w:r>
      <w:r w:rsidRPr="00B821F3">
        <w:rPr>
          <w:rFonts w:ascii="Verdana" w:eastAsia="MS Mincho" w:hAnsi="Verdana" w:cs="AdvPS94BA"/>
          <w:sz w:val="20"/>
          <w:szCs w:val="20"/>
          <w:lang w:val="en-GB" w:eastAsia="ja-JP"/>
        </w:rPr>
        <w:t xml:space="preserve"> systemic therapies.</w:t>
      </w:r>
      <w:r w:rsidR="00516A08">
        <w:rPr>
          <w:rFonts w:ascii="Verdana" w:eastAsia="MS Mincho" w:hAnsi="Verdana" w:cs="AdvPS94BA"/>
          <w:sz w:val="20"/>
          <w:szCs w:val="20"/>
          <w:lang w:val="en-GB" w:eastAsia="ja-JP"/>
        </w:rPr>
        <w:t xml:space="preserve"> All such patients should be referred to the MDT for discussion.</w:t>
      </w:r>
    </w:p>
    <w:p w:rsidR="00D80C86" w:rsidRDefault="00D80C86" w:rsidP="00D80C86">
      <w:pPr>
        <w:autoSpaceDE w:val="0"/>
        <w:autoSpaceDN w:val="0"/>
        <w:adjustRightInd w:val="0"/>
        <w:rPr>
          <w:rFonts w:ascii="Verdana" w:hAnsi="Verdana"/>
          <w:color w:val="548DD4"/>
          <w:sz w:val="20"/>
          <w:szCs w:val="20"/>
        </w:rPr>
      </w:pPr>
    </w:p>
    <w:p w:rsidR="00516A08" w:rsidRPr="002E6133" w:rsidRDefault="00516A08" w:rsidP="00D80C86">
      <w:pPr>
        <w:autoSpaceDE w:val="0"/>
        <w:autoSpaceDN w:val="0"/>
        <w:adjustRightInd w:val="0"/>
        <w:rPr>
          <w:rFonts w:ascii="Verdana" w:hAnsi="Verdana"/>
          <w:color w:val="548DD4"/>
          <w:sz w:val="20"/>
          <w:szCs w:val="20"/>
        </w:rPr>
      </w:pPr>
    </w:p>
    <w:p w:rsidR="00C9282E" w:rsidRDefault="00C9282E">
      <w:pPr>
        <w:rPr>
          <w:rFonts w:ascii="Verdana" w:hAnsi="Verdana"/>
          <w:b/>
          <w:bCs/>
          <w:sz w:val="20"/>
        </w:rPr>
      </w:pPr>
      <w:r>
        <w:rPr>
          <w:rFonts w:ascii="Verdana" w:hAnsi="Verdana"/>
          <w:b/>
          <w:bCs/>
          <w:sz w:val="20"/>
        </w:rPr>
        <w:br w:type="page"/>
      </w:r>
    </w:p>
    <w:p w:rsidR="008D200C" w:rsidRPr="00814A7D" w:rsidRDefault="00516A08" w:rsidP="008D200C">
      <w:pPr>
        <w:autoSpaceDE w:val="0"/>
        <w:autoSpaceDN w:val="0"/>
        <w:adjustRightInd w:val="0"/>
        <w:rPr>
          <w:rFonts w:ascii="Verdana" w:hAnsi="Verdana"/>
          <w:color w:val="548DD4"/>
          <w:sz w:val="20"/>
          <w:szCs w:val="20"/>
        </w:rPr>
      </w:pPr>
      <w:r>
        <w:rPr>
          <w:rFonts w:ascii="Verdana" w:hAnsi="Verdana"/>
          <w:b/>
          <w:bCs/>
          <w:sz w:val="20"/>
        </w:rPr>
        <w:lastRenderedPageBreak/>
        <w:t xml:space="preserve">4.  </w:t>
      </w:r>
      <w:r>
        <w:rPr>
          <w:rFonts w:ascii="Verdana" w:hAnsi="Verdana"/>
          <w:b/>
          <w:bCs/>
          <w:sz w:val="20"/>
          <w:szCs w:val="20"/>
        </w:rPr>
        <w:t>MEDULLARY THYROID CANCER</w:t>
      </w:r>
    </w:p>
    <w:p w:rsidR="008D200C" w:rsidRPr="00814A7D" w:rsidRDefault="008D200C" w:rsidP="008D200C">
      <w:pPr>
        <w:pStyle w:val="NormalWeb"/>
        <w:rPr>
          <w:rFonts w:ascii="Verdana" w:hAnsi="Verdana"/>
          <w:sz w:val="20"/>
          <w:szCs w:val="20"/>
        </w:rPr>
      </w:pPr>
      <w:r w:rsidRPr="00814A7D">
        <w:rPr>
          <w:rFonts w:ascii="Verdana" w:hAnsi="Verdana"/>
          <w:sz w:val="20"/>
          <w:szCs w:val="20"/>
        </w:rPr>
        <w:t xml:space="preserve">Medullary thyroid cancer (MTC) is rare, comprising only 3% to 4% of thyroid cancers. </w:t>
      </w:r>
    </w:p>
    <w:p w:rsidR="006B78B2" w:rsidRPr="00814A7D" w:rsidRDefault="008D200C" w:rsidP="0016172F">
      <w:pPr>
        <w:pStyle w:val="NormalWeb"/>
        <w:rPr>
          <w:rFonts w:ascii="Verdana" w:hAnsi="Verdana"/>
          <w:sz w:val="20"/>
          <w:szCs w:val="20"/>
        </w:rPr>
      </w:pPr>
      <w:r w:rsidRPr="00814A7D">
        <w:rPr>
          <w:rFonts w:ascii="Verdana" w:hAnsi="Verdana"/>
          <w:sz w:val="20"/>
          <w:szCs w:val="20"/>
        </w:rPr>
        <w:t>Approximately 25% of reported cases of MTC are familial. Familial MTC syndromes include MEN 2A, which is the most common; MEN 2B; and familial non-MEN syndromes. Any patient with a familial variant should be screened for other associated endocrine tumo</w:t>
      </w:r>
      <w:r w:rsidR="00516A08">
        <w:rPr>
          <w:rFonts w:ascii="Verdana" w:hAnsi="Verdana"/>
          <w:sz w:val="20"/>
          <w:szCs w:val="20"/>
        </w:rPr>
        <w:t>u</w:t>
      </w:r>
      <w:r w:rsidRPr="00814A7D">
        <w:rPr>
          <w:rFonts w:ascii="Verdana" w:hAnsi="Verdana"/>
          <w:sz w:val="20"/>
          <w:szCs w:val="20"/>
        </w:rPr>
        <w:t xml:space="preserve">rs, particularly parathyroid hyperplasia and pheochromocytoma. MTC can secrete calcitonin and other peptide substances. Determining the level of calcitonin is useful for diagnostic purposes and for </w:t>
      </w:r>
      <w:r w:rsidR="00516A08">
        <w:rPr>
          <w:rFonts w:ascii="Verdana" w:hAnsi="Verdana"/>
          <w:sz w:val="20"/>
          <w:szCs w:val="20"/>
        </w:rPr>
        <w:t>surveillance following</w:t>
      </w:r>
      <w:r w:rsidRPr="00814A7D">
        <w:rPr>
          <w:rFonts w:ascii="Verdana" w:hAnsi="Verdana"/>
          <w:sz w:val="20"/>
          <w:szCs w:val="20"/>
        </w:rPr>
        <w:t xml:space="preserve"> treatment. </w:t>
      </w:r>
    </w:p>
    <w:p w:rsidR="00C86E03" w:rsidRDefault="001606DA" w:rsidP="00C86E03">
      <w:pPr>
        <w:autoSpaceDE w:val="0"/>
        <w:autoSpaceDN w:val="0"/>
        <w:adjustRightInd w:val="0"/>
        <w:rPr>
          <w:rFonts w:ascii="Verdana" w:hAnsi="Verdana"/>
          <w:b/>
          <w:bCs/>
          <w:sz w:val="20"/>
        </w:rPr>
      </w:pPr>
      <w:r>
        <w:rPr>
          <w:rFonts w:ascii="Verdana" w:hAnsi="Verdana"/>
          <w:b/>
          <w:bCs/>
          <w:sz w:val="20"/>
        </w:rPr>
        <w:t>Pathology</w:t>
      </w:r>
    </w:p>
    <w:p w:rsidR="00814A7D" w:rsidRDefault="00814A7D" w:rsidP="00814A7D">
      <w:pPr>
        <w:autoSpaceDE w:val="0"/>
        <w:autoSpaceDN w:val="0"/>
        <w:adjustRightInd w:val="0"/>
        <w:rPr>
          <w:rFonts w:ascii="Verdana" w:eastAsia="MS Mincho" w:hAnsi="Verdana" w:cs="Arial"/>
          <w:sz w:val="20"/>
          <w:szCs w:val="20"/>
          <w:lang w:eastAsia="ja-JP"/>
        </w:rPr>
      </w:pPr>
      <w:r w:rsidRPr="00516A08">
        <w:rPr>
          <w:rFonts w:ascii="Verdana" w:hAnsi="Verdana"/>
          <w:bCs/>
          <w:sz w:val="20"/>
        </w:rPr>
        <w:t>MTC is a neuroendocrine tumour</w:t>
      </w:r>
      <w:r w:rsidR="008C38B8" w:rsidRPr="00516A08">
        <w:rPr>
          <w:rFonts w:ascii="Verdana" w:hAnsi="Verdana"/>
          <w:bCs/>
          <w:sz w:val="20"/>
        </w:rPr>
        <w:t xml:space="preserve"> (NET)</w:t>
      </w:r>
      <w:r w:rsidRPr="00516A08">
        <w:rPr>
          <w:rFonts w:ascii="Verdana" w:hAnsi="Verdana"/>
          <w:bCs/>
          <w:sz w:val="20"/>
        </w:rPr>
        <w:t xml:space="preserve"> </w:t>
      </w:r>
      <w:r w:rsidRPr="00516A08">
        <w:rPr>
          <w:rFonts w:ascii="Verdana" w:eastAsia="MS Mincho" w:hAnsi="Verdana" w:cs="Arial"/>
          <w:sz w:val="20"/>
          <w:szCs w:val="20"/>
          <w:lang w:eastAsia="ja-JP"/>
        </w:rPr>
        <w:t>derived from C cells (formerly called parafollicular cells) of ultimobranchial body of neural crest.  The malignant cells frequently will secrete calcitonin</w:t>
      </w:r>
      <w:r w:rsidR="00516A08">
        <w:rPr>
          <w:rFonts w:ascii="Verdana" w:eastAsia="MS Mincho" w:hAnsi="Verdana" w:cs="Arial"/>
          <w:sz w:val="20"/>
          <w:szCs w:val="20"/>
          <w:lang w:eastAsia="ja-JP"/>
        </w:rPr>
        <w:t xml:space="preserve"> and CEA</w:t>
      </w:r>
      <w:r w:rsidRPr="00516A08">
        <w:rPr>
          <w:rFonts w:ascii="Verdana" w:eastAsia="MS Mincho" w:hAnsi="Verdana" w:cs="Arial"/>
          <w:sz w:val="20"/>
          <w:szCs w:val="20"/>
          <w:lang w:eastAsia="ja-JP"/>
        </w:rPr>
        <w:t xml:space="preserve">. </w:t>
      </w:r>
    </w:p>
    <w:p w:rsidR="00516A08" w:rsidRDefault="00516A08" w:rsidP="00814A7D">
      <w:pPr>
        <w:autoSpaceDE w:val="0"/>
        <w:autoSpaceDN w:val="0"/>
        <w:adjustRightInd w:val="0"/>
        <w:rPr>
          <w:rFonts w:ascii="Verdana" w:eastAsia="MS Mincho" w:hAnsi="Verdana" w:cs="Arial"/>
          <w:sz w:val="20"/>
          <w:szCs w:val="20"/>
          <w:lang w:eastAsia="ja-JP"/>
        </w:rPr>
      </w:pPr>
    </w:p>
    <w:p w:rsidR="00516A08" w:rsidRPr="00516A08" w:rsidRDefault="00516A08" w:rsidP="00814A7D">
      <w:pPr>
        <w:autoSpaceDE w:val="0"/>
        <w:autoSpaceDN w:val="0"/>
        <w:adjustRightInd w:val="0"/>
        <w:rPr>
          <w:rFonts w:ascii="Verdana" w:hAnsi="Verdana"/>
          <w:bCs/>
          <w:sz w:val="20"/>
        </w:rPr>
      </w:pPr>
      <w:r>
        <w:rPr>
          <w:rFonts w:ascii="Verdana" w:eastAsia="MS Mincho" w:hAnsi="Verdana" w:cs="Arial"/>
          <w:sz w:val="20"/>
          <w:szCs w:val="20"/>
          <w:lang w:eastAsia="ja-JP"/>
        </w:rPr>
        <w:t>Staging is as for differentiated thyroid cancer.</w:t>
      </w:r>
    </w:p>
    <w:p w:rsidR="00C86E03" w:rsidRDefault="00C86E03" w:rsidP="00C86E03">
      <w:pPr>
        <w:autoSpaceDE w:val="0"/>
        <w:autoSpaceDN w:val="0"/>
        <w:adjustRightInd w:val="0"/>
        <w:rPr>
          <w:rFonts w:ascii="Verdana" w:hAnsi="Verdana"/>
          <w:bCs/>
          <w:sz w:val="20"/>
        </w:rPr>
      </w:pPr>
    </w:p>
    <w:p w:rsidR="00577B53" w:rsidRPr="00625539" w:rsidRDefault="008D200C" w:rsidP="00577B53">
      <w:pPr>
        <w:rPr>
          <w:rFonts w:ascii="Verdana" w:hAnsi="Verdana"/>
          <w:b/>
          <w:sz w:val="20"/>
        </w:rPr>
      </w:pPr>
      <w:r>
        <w:rPr>
          <w:rFonts w:ascii="Verdana" w:hAnsi="Verdana"/>
          <w:b/>
          <w:sz w:val="20"/>
        </w:rPr>
        <w:t>I</w:t>
      </w:r>
      <w:r w:rsidR="001606DA">
        <w:rPr>
          <w:rFonts w:ascii="Verdana" w:hAnsi="Verdana"/>
          <w:b/>
          <w:sz w:val="20"/>
        </w:rPr>
        <w:t>nvestigations</w:t>
      </w:r>
    </w:p>
    <w:p w:rsidR="00516A08" w:rsidRDefault="008D200C" w:rsidP="008D200C">
      <w:pPr>
        <w:rPr>
          <w:rFonts w:ascii="Verdana" w:hAnsi="Verdana"/>
          <w:sz w:val="20"/>
        </w:rPr>
      </w:pPr>
      <w:r>
        <w:rPr>
          <w:rFonts w:ascii="Verdana" w:hAnsi="Verdana"/>
          <w:sz w:val="20"/>
        </w:rPr>
        <w:t xml:space="preserve">Imaging: </w:t>
      </w:r>
    </w:p>
    <w:p w:rsidR="0016172F" w:rsidRDefault="00516A08" w:rsidP="002C15A9">
      <w:pPr>
        <w:numPr>
          <w:ilvl w:val="0"/>
          <w:numId w:val="9"/>
        </w:numPr>
        <w:rPr>
          <w:rFonts w:ascii="Verdana" w:hAnsi="Verdana"/>
          <w:sz w:val="20"/>
        </w:rPr>
      </w:pPr>
      <w:r>
        <w:rPr>
          <w:rFonts w:ascii="Verdana" w:hAnsi="Verdana"/>
          <w:sz w:val="20"/>
        </w:rPr>
        <w:t>USS</w:t>
      </w:r>
    </w:p>
    <w:p w:rsidR="00516A08" w:rsidRDefault="00516A08" w:rsidP="002C15A9">
      <w:pPr>
        <w:numPr>
          <w:ilvl w:val="0"/>
          <w:numId w:val="9"/>
        </w:numPr>
        <w:rPr>
          <w:rFonts w:ascii="Verdana" w:hAnsi="Verdana"/>
          <w:sz w:val="20"/>
        </w:rPr>
      </w:pPr>
      <w:r>
        <w:rPr>
          <w:rFonts w:ascii="Verdana" w:hAnsi="Verdana"/>
          <w:sz w:val="20"/>
        </w:rPr>
        <w:t>CT neck, chest, abdomen, pelvis</w:t>
      </w:r>
    </w:p>
    <w:p w:rsidR="008D200C" w:rsidRDefault="008D200C" w:rsidP="008D200C">
      <w:pPr>
        <w:rPr>
          <w:rFonts w:ascii="Verdana" w:hAnsi="Verdana"/>
          <w:sz w:val="20"/>
        </w:rPr>
      </w:pPr>
      <w:r>
        <w:rPr>
          <w:rFonts w:ascii="Verdana" w:hAnsi="Verdana"/>
          <w:sz w:val="20"/>
        </w:rPr>
        <w:t>Blood tests</w:t>
      </w:r>
      <w:r w:rsidR="00516A08" w:rsidRPr="00516A08">
        <w:rPr>
          <w:rFonts w:ascii="Verdana" w:hAnsi="Verdana"/>
          <w:sz w:val="20"/>
        </w:rPr>
        <w:t xml:space="preserve"> </w:t>
      </w:r>
      <w:r>
        <w:rPr>
          <w:rFonts w:ascii="Verdana" w:hAnsi="Verdana"/>
          <w:sz w:val="20"/>
        </w:rPr>
        <w:t xml:space="preserve">: </w:t>
      </w:r>
    </w:p>
    <w:p w:rsidR="008D200C" w:rsidRDefault="00516A08" w:rsidP="002C15A9">
      <w:pPr>
        <w:numPr>
          <w:ilvl w:val="0"/>
          <w:numId w:val="7"/>
        </w:numPr>
        <w:rPr>
          <w:rFonts w:ascii="Verdana" w:hAnsi="Verdana"/>
          <w:sz w:val="20"/>
        </w:rPr>
      </w:pPr>
      <w:r>
        <w:rPr>
          <w:rFonts w:ascii="Verdana" w:hAnsi="Verdana"/>
          <w:sz w:val="20"/>
        </w:rPr>
        <w:t>T</w:t>
      </w:r>
      <w:r w:rsidR="008D200C">
        <w:rPr>
          <w:rFonts w:ascii="Verdana" w:hAnsi="Verdana"/>
          <w:sz w:val="20"/>
        </w:rPr>
        <w:t>hyroid function</w:t>
      </w:r>
    </w:p>
    <w:p w:rsidR="008D200C" w:rsidRDefault="008D200C" w:rsidP="002C15A9">
      <w:pPr>
        <w:numPr>
          <w:ilvl w:val="0"/>
          <w:numId w:val="7"/>
        </w:numPr>
        <w:rPr>
          <w:rFonts w:ascii="Verdana" w:hAnsi="Verdana"/>
          <w:sz w:val="20"/>
        </w:rPr>
      </w:pPr>
      <w:r>
        <w:rPr>
          <w:rFonts w:ascii="Verdana" w:hAnsi="Verdana"/>
          <w:sz w:val="20"/>
        </w:rPr>
        <w:t xml:space="preserve">Calcitonin </w:t>
      </w:r>
      <w:r w:rsidR="00516A08">
        <w:rPr>
          <w:rFonts w:ascii="Verdana" w:hAnsi="Verdana"/>
          <w:sz w:val="20"/>
        </w:rPr>
        <w:t>(either basal or post calcium/pentagastrin stimulation)</w:t>
      </w:r>
    </w:p>
    <w:p w:rsidR="00814A7D" w:rsidRDefault="00814A7D" w:rsidP="002C15A9">
      <w:pPr>
        <w:numPr>
          <w:ilvl w:val="0"/>
          <w:numId w:val="7"/>
        </w:numPr>
        <w:rPr>
          <w:rFonts w:ascii="Verdana" w:hAnsi="Verdana"/>
          <w:sz w:val="20"/>
        </w:rPr>
      </w:pPr>
      <w:r>
        <w:rPr>
          <w:rFonts w:ascii="Verdana" w:hAnsi="Verdana"/>
          <w:sz w:val="20"/>
        </w:rPr>
        <w:t>Chromogranin A, CEA (specific cases only)</w:t>
      </w:r>
    </w:p>
    <w:p w:rsidR="008D200C" w:rsidRDefault="008D200C" w:rsidP="008D200C">
      <w:pPr>
        <w:rPr>
          <w:rFonts w:ascii="Verdana" w:hAnsi="Verdana"/>
          <w:sz w:val="20"/>
        </w:rPr>
      </w:pPr>
      <w:r>
        <w:rPr>
          <w:rFonts w:ascii="Verdana" w:hAnsi="Verdana"/>
          <w:sz w:val="20"/>
        </w:rPr>
        <w:t>Cytology</w:t>
      </w:r>
    </w:p>
    <w:p w:rsidR="008D200C" w:rsidRDefault="008D200C" w:rsidP="002C15A9">
      <w:pPr>
        <w:numPr>
          <w:ilvl w:val="0"/>
          <w:numId w:val="8"/>
        </w:numPr>
        <w:rPr>
          <w:rFonts w:ascii="Verdana" w:hAnsi="Verdana"/>
          <w:sz w:val="20"/>
        </w:rPr>
      </w:pPr>
      <w:r>
        <w:rPr>
          <w:rFonts w:ascii="Verdana" w:hAnsi="Verdana"/>
          <w:sz w:val="20"/>
        </w:rPr>
        <w:t>FNAC of thyroid nodule</w:t>
      </w:r>
    </w:p>
    <w:p w:rsidR="00814A7D" w:rsidRDefault="00814A7D" w:rsidP="00814A7D">
      <w:pPr>
        <w:rPr>
          <w:rFonts w:ascii="Verdana" w:hAnsi="Verdana"/>
          <w:sz w:val="20"/>
        </w:rPr>
      </w:pPr>
      <w:r>
        <w:rPr>
          <w:rFonts w:ascii="Verdana" w:hAnsi="Verdana"/>
          <w:sz w:val="20"/>
        </w:rPr>
        <w:t>Genetic screening</w:t>
      </w:r>
    </w:p>
    <w:p w:rsidR="00C86E03" w:rsidRPr="00516A08" w:rsidRDefault="00516A08" w:rsidP="00516A08">
      <w:pPr>
        <w:numPr>
          <w:ilvl w:val="0"/>
          <w:numId w:val="17"/>
        </w:numPr>
        <w:autoSpaceDE w:val="0"/>
        <w:autoSpaceDN w:val="0"/>
        <w:adjustRightInd w:val="0"/>
        <w:rPr>
          <w:rFonts w:ascii="Verdana" w:hAnsi="Verdana"/>
          <w:bCs/>
          <w:sz w:val="20"/>
        </w:rPr>
      </w:pPr>
      <w:r w:rsidRPr="00516A08">
        <w:rPr>
          <w:rFonts w:ascii="Verdana" w:hAnsi="Verdana"/>
          <w:sz w:val="20"/>
        </w:rPr>
        <w:t>RET mutation screening should be undertaken in all cases</w:t>
      </w:r>
    </w:p>
    <w:p w:rsidR="001606DA" w:rsidRDefault="001606DA" w:rsidP="00D80C86">
      <w:pPr>
        <w:autoSpaceDE w:val="0"/>
        <w:autoSpaceDN w:val="0"/>
        <w:adjustRightInd w:val="0"/>
        <w:rPr>
          <w:rFonts w:ascii="Verdana" w:hAnsi="Verdana"/>
          <w:b/>
          <w:sz w:val="20"/>
        </w:rPr>
      </w:pPr>
    </w:p>
    <w:p w:rsidR="004F0FD3" w:rsidRDefault="008D200C" w:rsidP="00D80C86">
      <w:pPr>
        <w:autoSpaceDE w:val="0"/>
        <w:autoSpaceDN w:val="0"/>
        <w:adjustRightInd w:val="0"/>
        <w:rPr>
          <w:rFonts w:ascii="Verdana" w:hAnsi="Verdana"/>
          <w:b/>
          <w:sz w:val="20"/>
        </w:rPr>
      </w:pPr>
      <w:r>
        <w:rPr>
          <w:rFonts w:ascii="Verdana" w:hAnsi="Verdana"/>
          <w:b/>
          <w:sz w:val="20"/>
        </w:rPr>
        <w:t>S</w:t>
      </w:r>
      <w:r w:rsidR="001606DA">
        <w:rPr>
          <w:rFonts w:ascii="Verdana" w:hAnsi="Verdana"/>
          <w:b/>
          <w:sz w:val="20"/>
        </w:rPr>
        <w:t>urgery</w:t>
      </w:r>
    </w:p>
    <w:p w:rsidR="008D200C" w:rsidRPr="0016172F" w:rsidRDefault="0016172F" w:rsidP="00D80C86">
      <w:pPr>
        <w:autoSpaceDE w:val="0"/>
        <w:autoSpaceDN w:val="0"/>
        <w:adjustRightInd w:val="0"/>
        <w:rPr>
          <w:rFonts w:ascii="Verdana" w:hAnsi="Verdana"/>
          <w:sz w:val="20"/>
          <w:szCs w:val="20"/>
        </w:rPr>
      </w:pPr>
      <w:r w:rsidRPr="0024756F">
        <w:rPr>
          <w:rFonts w:ascii="Verdana" w:hAnsi="Verdana"/>
          <w:sz w:val="20"/>
          <w:szCs w:val="20"/>
        </w:rPr>
        <w:t xml:space="preserve">Sporadic medullary thyroid carcinomas and familial medullary thyroid carcinomas are treated with total thyroidectomy and </w:t>
      </w:r>
      <w:r w:rsidR="0024756F" w:rsidRPr="0024756F">
        <w:rPr>
          <w:rFonts w:ascii="Verdana" w:hAnsi="Verdana"/>
          <w:sz w:val="20"/>
          <w:szCs w:val="20"/>
        </w:rPr>
        <w:t>level VI-VII</w:t>
      </w:r>
      <w:r w:rsidR="0024756F">
        <w:rPr>
          <w:rFonts w:ascii="Verdana" w:hAnsi="Verdana"/>
          <w:sz w:val="20"/>
          <w:szCs w:val="20"/>
        </w:rPr>
        <w:t xml:space="preserve"> dissection</w:t>
      </w:r>
      <w:r w:rsidR="0024756F" w:rsidRPr="0024756F">
        <w:rPr>
          <w:rFonts w:ascii="Verdana" w:hAnsi="Verdana"/>
          <w:sz w:val="20"/>
          <w:szCs w:val="20"/>
        </w:rPr>
        <w:t>. Therapeutic neck disse</w:t>
      </w:r>
      <w:r w:rsidR="00791B29">
        <w:rPr>
          <w:rFonts w:ascii="Verdana" w:hAnsi="Verdana"/>
          <w:sz w:val="20"/>
          <w:szCs w:val="20"/>
        </w:rPr>
        <w:t>c</w:t>
      </w:r>
      <w:r w:rsidR="0024756F" w:rsidRPr="0024756F">
        <w:rPr>
          <w:rFonts w:ascii="Verdana" w:hAnsi="Verdana"/>
          <w:sz w:val="20"/>
          <w:szCs w:val="20"/>
        </w:rPr>
        <w:t>tion of the lateral compartments should be performed in line with the recommendations for DTC</w:t>
      </w:r>
      <w:r w:rsidRPr="0024756F">
        <w:rPr>
          <w:rFonts w:ascii="Verdana" w:hAnsi="Verdana"/>
          <w:sz w:val="20"/>
          <w:szCs w:val="20"/>
        </w:rPr>
        <w:t xml:space="preserve">. </w:t>
      </w:r>
      <w:r w:rsidR="00C65A7D">
        <w:rPr>
          <w:rFonts w:ascii="Verdana" w:hAnsi="Verdana"/>
          <w:sz w:val="20"/>
          <w:szCs w:val="20"/>
        </w:rPr>
        <w:t xml:space="preserve">Prophylactic lateral neck surgery is controversial.  Although biochemical cure is unlikely in the setting of lateral neck disease, high calcitonin can be used as a predictor of metastases in the lateral neck.  Some authors therefore consider high calcitonin (&gt;200) to be an indication for prophylactic surgery.  </w:t>
      </w:r>
      <w:r w:rsidRPr="0024756F">
        <w:rPr>
          <w:rFonts w:ascii="Verdana" w:hAnsi="Verdana"/>
          <w:sz w:val="20"/>
          <w:szCs w:val="20"/>
        </w:rPr>
        <w:t xml:space="preserve">In children with multiple endocrine neoplasia (MEN) type 2A and MEN 2B syndromes, prophylactic thyroidectomy </w:t>
      </w:r>
      <w:r w:rsidR="00C65A7D">
        <w:rPr>
          <w:rFonts w:ascii="Verdana" w:hAnsi="Verdana"/>
          <w:sz w:val="20"/>
          <w:szCs w:val="20"/>
        </w:rPr>
        <w:t>with or without</w:t>
      </w:r>
      <w:r w:rsidR="00C65A7D" w:rsidRPr="0024756F">
        <w:rPr>
          <w:rFonts w:ascii="Verdana" w:hAnsi="Verdana"/>
          <w:sz w:val="20"/>
          <w:szCs w:val="20"/>
        </w:rPr>
        <w:t xml:space="preserve"> </w:t>
      </w:r>
      <w:r w:rsidRPr="0024756F">
        <w:rPr>
          <w:rFonts w:ascii="Verdana" w:hAnsi="Verdana"/>
          <w:sz w:val="20"/>
          <w:szCs w:val="20"/>
        </w:rPr>
        <w:t>central-compartment lymph-node dissection is performed.</w:t>
      </w:r>
      <w:r w:rsidR="0024756F" w:rsidRPr="0024756F">
        <w:rPr>
          <w:rFonts w:ascii="Verdana" w:hAnsi="Verdana"/>
          <w:sz w:val="20"/>
          <w:szCs w:val="20"/>
        </w:rPr>
        <w:t xml:space="preserve"> The timing of this is determined in liaison with clinical genetics and is influenced by the specific RET genotype.</w:t>
      </w:r>
    </w:p>
    <w:p w:rsidR="0016172F" w:rsidRDefault="0016172F" w:rsidP="00D80C86">
      <w:pPr>
        <w:autoSpaceDE w:val="0"/>
        <w:autoSpaceDN w:val="0"/>
        <w:adjustRightInd w:val="0"/>
        <w:rPr>
          <w:rFonts w:ascii="Verdana" w:hAnsi="Verdana"/>
          <w:b/>
          <w:sz w:val="20"/>
        </w:rPr>
      </w:pPr>
    </w:p>
    <w:p w:rsidR="00516A08" w:rsidRDefault="00516A08" w:rsidP="00D80C86">
      <w:pPr>
        <w:autoSpaceDE w:val="0"/>
        <w:autoSpaceDN w:val="0"/>
        <w:adjustRightInd w:val="0"/>
        <w:rPr>
          <w:rFonts w:ascii="Verdana" w:hAnsi="Verdana"/>
          <w:b/>
          <w:sz w:val="20"/>
        </w:rPr>
      </w:pPr>
      <w:r>
        <w:rPr>
          <w:rFonts w:ascii="Verdana" w:hAnsi="Verdana"/>
          <w:b/>
          <w:sz w:val="20"/>
        </w:rPr>
        <w:t>TSH suppression</w:t>
      </w:r>
      <w:r w:rsidR="001606DA">
        <w:rPr>
          <w:rFonts w:ascii="Verdana" w:hAnsi="Verdana"/>
          <w:b/>
          <w:sz w:val="20"/>
        </w:rPr>
        <w:t xml:space="preserve"> and Radio-iodine Therapy</w:t>
      </w:r>
    </w:p>
    <w:p w:rsidR="001606DA" w:rsidRDefault="001606DA" w:rsidP="001606DA">
      <w:pPr>
        <w:autoSpaceDE w:val="0"/>
        <w:autoSpaceDN w:val="0"/>
        <w:adjustRightInd w:val="0"/>
        <w:rPr>
          <w:rFonts w:ascii="Verdana" w:hAnsi="Verdana"/>
          <w:sz w:val="20"/>
        </w:rPr>
      </w:pPr>
      <w:r>
        <w:rPr>
          <w:rFonts w:ascii="Verdana" w:hAnsi="Verdana"/>
          <w:sz w:val="20"/>
        </w:rPr>
        <w:t>There is no role for RAI or TSH suppression in the management of medullary thyroid cancer. Patients should receive physiological replacement with T4 following thyroidectomy.</w:t>
      </w:r>
    </w:p>
    <w:p w:rsidR="00516A08" w:rsidRDefault="00516A08" w:rsidP="00D80C86">
      <w:pPr>
        <w:autoSpaceDE w:val="0"/>
        <w:autoSpaceDN w:val="0"/>
        <w:adjustRightInd w:val="0"/>
        <w:rPr>
          <w:rFonts w:ascii="Verdana" w:hAnsi="Verdana"/>
          <w:b/>
          <w:sz w:val="20"/>
        </w:rPr>
      </w:pPr>
    </w:p>
    <w:p w:rsidR="008D200C" w:rsidRDefault="001606DA" w:rsidP="00D80C86">
      <w:pPr>
        <w:autoSpaceDE w:val="0"/>
        <w:autoSpaceDN w:val="0"/>
        <w:adjustRightInd w:val="0"/>
        <w:rPr>
          <w:rFonts w:ascii="Verdana" w:hAnsi="Verdana"/>
          <w:b/>
          <w:sz w:val="20"/>
        </w:rPr>
      </w:pPr>
      <w:r>
        <w:rPr>
          <w:rFonts w:ascii="Verdana" w:hAnsi="Verdana"/>
          <w:b/>
          <w:sz w:val="20"/>
        </w:rPr>
        <w:t>External-</w:t>
      </w:r>
      <w:r w:rsidR="00516A08">
        <w:rPr>
          <w:rFonts w:ascii="Verdana" w:hAnsi="Verdana"/>
          <w:b/>
          <w:sz w:val="20"/>
        </w:rPr>
        <w:t>Beam Radiotherapy</w:t>
      </w:r>
    </w:p>
    <w:p w:rsidR="008D200C" w:rsidRDefault="008D200C" w:rsidP="00D80C86">
      <w:pPr>
        <w:autoSpaceDE w:val="0"/>
        <w:autoSpaceDN w:val="0"/>
        <w:adjustRightInd w:val="0"/>
        <w:rPr>
          <w:rFonts w:ascii="Verdana" w:hAnsi="Verdana"/>
          <w:sz w:val="20"/>
        </w:rPr>
      </w:pPr>
    </w:p>
    <w:p w:rsidR="00123A1A" w:rsidRPr="00C9282E" w:rsidRDefault="00123A1A" w:rsidP="00D80C86">
      <w:pPr>
        <w:autoSpaceDE w:val="0"/>
        <w:autoSpaceDN w:val="0"/>
        <w:adjustRightInd w:val="0"/>
        <w:rPr>
          <w:rFonts w:ascii="Verdana" w:hAnsi="Verdana"/>
          <w:sz w:val="20"/>
          <w:szCs w:val="20"/>
        </w:rPr>
      </w:pPr>
      <w:r w:rsidRPr="00C9282E">
        <w:rPr>
          <w:rFonts w:ascii="Verdana" w:hAnsi="Verdana"/>
          <w:sz w:val="20"/>
          <w:szCs w:val="20"/>
        </w:rPr>
        <w:t>External beam radiotherapy may have a role in</w:t>
      </w:r>
    </w:p>
    <w:p w:rsidR="00123A1A" w:rsidRPr="00C9282E" w:rsidRDefault="00123A1A" w:rsidP="00123A1A">
      <w:pPr>
        <w:autoSpaceDE w:val="0"/>
        <w:autoSpaceDN w:val="0"/>
        <w:adjustRightInd w:val="0"/>
        <w:rPr>
          <w:rFonts w:ascii="Verdana" w:hAnsi="Verdana"/>
          <w:sz w:val="20"/>
          <w:szCs w:val="20"/>
        </w:rPr>
      </w:pPr>
    </w:p>
    <w:p w:rsidR="00AB1E86" w:rsidRPr="00C9282E" w:rsidRDefault="00AB1E86" w:rsidP="00123A1A">
      <w:pPr>
        <w:pStyle w:val="ListParagraph"/>
        <w:numPr>
          <w:ilvl w:val="0"/>
          <w:numId w:val="8"/>
        </w:numPr>
        <w:autoSpaceDE w:val="0"/>
        <w:autoSpaceDN w:val="0"/>
        <w:adjustRightInd w:val="0"/>
        <w:rPr>
          <w:rFonts w:ascii="Verdana" w:hAnsi="Verdana"/>
          <w:sz w:val="20"/>
          <w:szCs w:val="20"/>
        </w:rPr>
      </w:pPr>
      <w:r w:rsidRPr="00C9282E">
        <w:rPr>
          <w:rFonts w:ascii="Verdana" w:hAnsi="Verdana"/>
          <w:sz w:val="20"/>
          <w:szCs w:val="20"/>
        </w:rPr>
        <w:lastRenderedPageBreak/>
        <w:t>Gross extra thyroid extension encountered following surgical resection</w:t>
      </w:r>
    </w:p>
    <w:p w:rsidR="00123A1A" w:rsidRPr="00C9282E" w:rsidRDefault="00123A1A" w:rsidP="00123A1A">
      <w:pPr>
        <w:pStyle w:val="ListParagraph"/>
        <w:numPr>
          <w:ilvl w:val="0"/>
          <w:numId w:val="8"/>
        </w:numPr>
        <w:autoSpaceDE w:val="0"/>
        <w:autoSpaceDN w:val="0"/>
        <w:adjustRightInd w:val="0"/>
        <w:rPr>
          <w:rFonts w:ascii="Verdana" w:hAnsi="Verdana"/>
          <w:sz w:val="20"/>
          <w:szCs w:val="20"/>
        </w:rPr>
      </w:pPr>
      <w:r w:rsidRPr="00C9282E">
        <w:rPr>
          <w:rFonts w:ascii="Verdana" w:hAnsi="Verdana"/>
          <w:sz w:val="20"/>
          <w:szCs w:val="20"/>
        </w:rPr>
        <w:t xml:space="preserve">Positive </w:t>
      </w:r>
      <w:r w:rsidR="00AB1E86" w:rsidRPr="00C9282E">
        <w:rPr>
          <w:rFonts w:ascii="Verdana" w:hAnsi="Verdana"/>
          <w:sz w:val="20"/>
          <w:szCs w:val="20"/>
        </w:rPr>
        <w:t xml:space="preserve">surgical </w:t>
      </w:r>
      <w:r w:rsidRPr="00C9282E">
        <w:rPr>
          <w:rFonts w:ascii="Verdana" w:hAnsi="Verdana"/>
          <w:sz w:val="20"/>
          <w:szCs w:val="20"/>
        </w:rPr>
        <w:t xml:space="preserve">margins </w:t>
      </w:r>
      <w:r w:rsidR="00AB1E86" w:rsidRPr="00C9282E">
        <w:rPr>
          <w:rFonts w:ascii="Verdana" w:hAnsi="Verdana"/>
          <w:sz w:val="20"/>
          <w:szCs w:val="20"/>
        </w:rPr>
        <w:t xml:space="preserve">(in contrast to “R1” pathological report) </w:t>
      </w:r>
      <w:r w:rsidRPr="00C9282E">
        <w:rPr>
          <w:rFonts w:ascii="Verdana" w:hAnsi="Verdana"/>
          <w:sz w:val="20"/>
          <w:szCs w:val="20"/>
        </w:rPr>
        <w:t>and further surgery not possible</w:t>
      </w:r>
    </w:p>
    <w:p w:rsidR="00123A1A" w:rsidRPr="00C9282E" w:rsidRDefault="00123A1A" w:rsidP="00123A1A">
      <w:pPr>
        <w:pStyle w:val="ListParagraph"/>
        <w:numPr>
          <w:ilvl w:val="0"/>
          <w:numId w:val="8"/>
        </w:numPr>
        <w:autoSpaceDE w:val="0"/>
        <w:autoSpaceDN w:val="0"/>
        <w:adjustRightInd w:val="0"/>
        <w:rPr>
          <w:rFonts w:ascii="Verdana" w:hAnsi="Verdana"/>
          <w:sz w:val="20"/>
          <w:szCs w:val="20"/>
        </w:rPr>
      </w:pPr>
      <w:r w:rsidRPr="00C9282E">
        <w:rPr>
          <w:rFonts w:ascii="Verdana" w:hAnsi="Verdana"/>
          <w:sz w:val="20"/>
          <w:szCs w:val="20"/>
        </w:rPr>
        <w:t>L</w:t>
      </w:r>
      <w:r w:rsidR="00FF66B9" w:rsidRPr="00C9282E">
        <w:rPr>
          <w:rFonts w:ascii="Verdana" w:hAnsi="Verdana"/>
          <w:sz w:val="20"/>
          <w:szCs w:val="20"/>
        </w:rPr>
        <w:t>ocal control if disease becomes unresectable</w:t>
      </w:r>
    </w:p>
    <w:p w:rsidR="00123A1A" w:rsidRPr="00C9282E" w:rsidRDefault="00123A1A" w:rsidP="00123A1A">
      <w:pPr>
        <w:pStyle w:val="ListParagraph"/>
        <w:numPr>
          <w:ilvl w:val="0"/>
          <w:numId w:val="8"/>
        </w:numPr>
        <w:autoSpaceDE w:val="0"/>
        <w:autoSpaceDN w:val="0"/>
        <w:adjustRightInd w:val="0"/>
        <w:rPr>
          <w:rFonts w:ascii="Verdana" w:hAnsi="Verdana"/>
          <w:sz w:val="20"/>
          <w:szCs w:val="20"/>
        </w:rPr>
      </w:pPr>
      <w:r w:rsidRPr="00C9282E">
        <w:rPr>
          <w:rFonts w:ascii="Verdana" w:hAnsi="Verdana"/>
          <w:sz w:val="20"/>
          <w:szCs w:val="20"/>
        </w:rPr>
        <w:t>Treatment of osseous metastases</w:t>
      </w:r>
    </w:p>
    <w:p w:rsidR="008D200C" w:rsidRPr="00C9282E" w:rsidRDefault="00AB1E86" w:rsidP="00123A1A">
      <w:pPr>
        <w:pStyle w:val="ListParagraph"/>
        <w:numPr>
          <w:ilvl w:val="0"/>
          <w:numId w:val="8"/>
        </w:numPr>
        <w:autoSpaceDE w:val="0"/>
        <w:autoSpaceDN w:val="0"/>
        <w:adjustRightInd w:val="0"/>
        <w:rPr>
          <w:rFonts w:ascii="Verdana" w:hAnsi="Verdana"/>
          <w:sz w:val="20"/>
          <w:szCs w:val="20"/>
        </w:rPr>
      </w:pPr>
      <w:r w:rsidRPr="00C9282E">
        <w:rPr>
          <w:rFonts w:ascii="Verdana" w:hAnsi="Verdana"/>
          <w:sz w:val="20"/>
          <w:szCs w:val="20"/>
        </w:rPr>
        <w:t>Spinal c</w:t>
      </w:r>
      <w:r w:rsidR="00123A1A" w:rsidRPr="00C9282E">
        <w:rPr>
          <w:rFonts w:ascii="Verdana" w:hAnsi="Verdana"/>
          <w:sz w:val="20"/>
          <w:szCs w:val="20"/>
        </w:rPr>
        <w:t xml:space="preserve">ord compression </w:t>
      </w:r>
    </w:p>
    <w:p w:rsidR="00123A1A" w:rsidRPr="00C9282E" w:rsidRDefault="00123A1A" w:rsidP="00123A1A">
      <w:pPr>
        <w:autoSpaceDE w:val="0"/>
        <w:autoSpaceDN w:val="0"/>
        <w:adjustRightInd w:val="0"/>
        <w:rPr>
          <w:rFonts w:ascii="Verdana" w:hAnsi="Verdana"/>
          <w:sz w:val="20"/>
        </w:rPr>
      </w:pPr>
    </w:p>
    <w:p w:rsidR="00123A1A" w:rsidRPr="00C9282E" w:rsidRDefault="00123A1A" w:rsidP="00123A1A">
      <w:pPr>
        <w:autoSpaceDE w:val="0"/>
        <w:autoSpaceDN w:val="0"/>
        <w:adjustRightInd w:val="0"/>
        <w:rPr>
          <w:rFonts w:ascii="Verdana" w:hAnsi="Verdana"/>
          <w:sz w:val="20"/>
        </w:rPr>
      </w:pPr>
      <w:r w:rsidRPr="00C9282E">
        <w:rPr>
          <w:rFonts w:ascii="Verdana" w:hAnsi="Verdana"/>
          <w:sz w:val="20"/>
        </w:rPr>
        <w:t>Doses and techniques</w:t>
      </w:r>
    </w:p>
    <w:p w:rsidR="00123A1A" w:rsidRPr="00C9282E" w:rsidRDefault="00123A1A" w:rsidP="00123A1A">
      <w:pPr>
        <w:autoSpaceDE w:val="0"/>
        <w:autoSpaceDN w:val="0"/>
        <w:adjustRightInd w:val="0"/>
        <w:rPr>
          <w:rFonts w:ascii="Verdana" w:hAnsi="Verdana"/>
          <w:sz w:val="20"/>
        </w:rPr>
      </w:pPr>
    </w:p>
    <w:p w:rsidR="00123A1A" w:rsidRPr="00C9282E" w:rsidRDefault="00123A1A" w:rsidP="00123A1A">
      <w:pPr>
        <w:pStyle w:val="ListParagraph"/>
        <w:numPr>
          <w:ilvl w:val="0"/>
          <w:numId w:val="23"/>
        </w:numPr>
        <w:autoSpaceDE w:val="0"/>
        <w:autoSpaceDN w:val="0"/>
        <w:adjustRightInd w:val="0"/>
        <w:rPr>
          <w:rFonts w:ascii="Verdana" w:hAnsi="Verdana"/>
          <w:sz w:val="20"/>
        </w:rPr>
      </w:pPr>
      <w:r w:rsidRPr="00C9282E">
        <w:rPr>
          <w:rFonts w:ascii="Verdana" w:hAnsi="Verdana"/>
          <w:sz w:val="20"/>
        </w:rPr>
        <w:t xml:space="preserve">Adjuvant </w:t>
      </w:r>
    </w:p>
    <w:p w:rsidR="00123A1A" w:rsidRPr="00C9282E" w:rsidRDefault="00123A1A" w:rsidP="00123A1A">
      <w:pPr>
        <w:pStyle w:val="ListParagraph"/>
        <w:numPr>
          <w:ilvl w:val="1"/>
          <w:numId w:val="23"/>
        </w:numPr>
        <w:autoSpaceDE w:val="0"/>
        <w:autoSpaceDN w:val="0"/>
        <w:adjustRightInd w:val="0"/>
        <w:rPr>
          <w:rFonts w:ascii="Verdana" w:hAnsi="Verdana"/>
          <w:sz w:val="20"/>
        </w:rPr>
      </w:pPr>
      <w:r w:rsidRPr="00C9282E">
        <w:rPr>
          <w:rFonts w:ascii="Verdana" w:hAnsi="Verdana"/>
          <w:sz w:val="20"/>
        </w:rPr>
        <w:t>60-66 Gy in 2 Gy per fraction to surgical bed and bilateral cervical nodes</w:t>
      </w:r>
    </w:p>
    <w:p w:rsidR="00123A1A" w:rsidRPr="00C9282E" w:rsidRDefault="00123A1A" w:rsidP="00123A1A">
      <w:pPr>
        <w:pStyle w:val="ListParagraph"/>
        <w:numPr>
          <w:ilvl w:val="1"/>
          <w:numId w:val="23"/>
        </w:numPr>
        <w:autoSpaceDE w:val="0"/>
        <w:autoSpaceDN w:val="0"/>
        <w:adjustRightInd w:val="0"/>
        <w:rPr>
          <w:rFonts w:ascii="Verdana" w:hAnsi="Verdana"/>
          <w:sz w:val="20"/>
        </w:rPr>
      </w:pPr>
      <w:r w:rsidRPr="00C9282E">
        <w:rPr>
          <w:rFonts w:ascii="Verdana" w:hAnsi="Verdana"/>
          <w:sz w:val="20"/>
        </w:rPr>
        <w:t xml:space="preserve">Mediastinal nodes are not included unless suspicious </w:t>
      </w:r>
    </w:p>
    <w:p w:rsidR="00123A1A" w:rsidRPr="00C9282E" w:rsidRDefault="00123A1A" w:rsidP="00123A1A">
      <w:pPr>
        <w:pStyle w:val="ListParagraph"/>
        <w:numPr>
          <w:ilvl w:val="0"/>
          <w:numId w:val="23"/>
        </w:numPr>
        <w:autoSpaceDE w:val="0"/>
        <w:autoSpaceDN w:val="0"/>
        <w:adjustRightInd w:val="0"/>
        <w:rPr>
          <w:rFonts w:ascii="Verdana" w:hAnsi="Verdana"/>
          <w:sz w:val="20"/>
        </w:rPr>
      </w:pPr>
      <w:r w:rsidRPr="00C9282E">
        <w:rPr>
          <w:rFonts w:ascii="Verdana" w:hAnsi="Verdana"/>
          <w:sz w:val="20"/>
        </w:rPr>
        <w:t>Palliative</w:t>
      </w:r>
    </w:p>
    <w:p w:rsidR="00123A1A" w:rsidRPr="00C9282E" w:rsidRDefault="00123A1A" w:rsidP="00123A1A">
      <w:pPr>
        <w:pStyle w:val="ListParagraph"/>
        <w:numPr>
          <w:ilvl w:val="1"/>
          <w:numId w:val="23"/>
        </w:numPr>
        <w:autoSpaceDE w:val="0"/>
        <w:autoSpaceDN w:val="0"/>
        <w:adjustRightInd w:val="0"/>
        <w:rPr>
          <w:rFonts w:ascii="Verdana" w:hAnsi="Verdana"/>
          <w:sz w:val="20"/>
        </w:rPr>
      </w:pPr>
      <w:r w:rsidRPr="00C9282E">
        <w:rPr>
          <w:rFonts w:ascii="Verdana" w:hAnsi="Verdana"/>
          <w:sz w:val="20"/>
        </w:rPr>
        <w:t>High dose for local control : 45 Gy to 30 Gy in 3 Gy per fraction</w:t>
      </w:r>
    </w:p>
    <w:p w:rsidR="00123A1A" w:rsidRPr="00C9282E" w:rsidRDefault="00123A1A" w:rsidP="00123A1A">
      <w:pPr>
        <w:pStyle w:val="ListParagraph"/>
        <w:numPr>
          <w:ilvl w:val="1"/>
          <w:numId w:val="23"/>
        </w:numPr>
        <w:autoSpaceDE w:val="0"/>
        <w:autoSpaceDN w:val="0"/>
        <w:adjustRightInd w:val="0"/>
        <w:rPr>
          <w:rFonts w:ascii="Verdana" w:hAnsi="Verdana"/>
          <w:sz w:val="20"/>
        </w:rPr>
      </w:pPr>
      <w:r w:rsidRPr="00C9282E">
        <w:rPr>
          <w:rFonts w:ascii="Verdana" w:hAnsi="Verdana"/>
          <w:sz w:val="20"/>
        </w:rPr>
        <w:t xml:space="preserve">For symptom control, emergencies : 20 Gy in 5 fractions to 8 Gy in a single fraction </w:t>
      </w:r>
    </w:p>
    <w:p w:rsidR="00123A1A" w:rsidRDefault="00123A1A" w:rsidP="00D80C86">
      <w:pPr>
        <w:autoSpaceDE w:val="0"/>
        <w:autoSpaceDN w:val="0"/>
        <w:adjustRightInd w:val="0"/>
        <w:rPr>
          <w:rFonts w:ascii="Verdana" w:hAnsi="Verdana"/>
          <w:b/>
          <w:sz w:val="20"/>
        </w:rPr>
      </w:pPr>
    </w:p>
    <w:p w:rsidR="008D200C" w:rsidRPr="008D200C" w:rsidRDefault="001606DA" w:rsidP="00D80C86">
      <w:pPr>
        <w:autoSpaceDE w:val="0"/>
        <w:autoSpaceDN w:val="0"/>
        <w:adjustRightInd w:val="0"/>
        <w:rPr>
          <w:rFonts w:ascii="Verdana" w:hAnsi="Verdana"/>
          <w:color w:val="FF0000"/>
          <w:sz w:val="20"/>
        </w:rPr>
      </w:pPr>
      <w:r>
        <w:rPr>
          <w:rFonts w:ascii="Verdana" w:hAnsi="Verdana"/>
          <w:b/>
          <w:sz w:val="20"/>
        </w:rPr>
        <w:t>Systemic Anti-Cancer Therapy</w:t>
      </w:r>
      <w:r w:rsidR="008D200C">
        <w:rPr>
          <w:rFonts w:ascii="Verdana" w:hAnsi="Verdana"/>
          <w:b/>
          <w:sz w:val="20"/>
        </w:rPr>
        <w:t xml:space="preserve"> (SACT):</w:t>
      </w:r>
    </w:p>
    <w:p w:rsidR="004F0FD3" w:rsidRDefault="004F0FD3" w:rsidP="00D80C86">
      <w:pPr>
        <w:autoSpaceDE w:val="0"/>
        <w:autoSpaceDN w:val="0"/>
        <w:adjustRightInd w:val="0"/>
        <w:rPr>
          <w:rFonts w:ascii="Verdana" w:hAnsi="Verdana"/>
          <w:b/>
          <w:sz w:val="20"/>
        </w:rPr>
      </w:pPr>
    </w:p>
    <w:p w:rsidR="00394EB2" w:rsidRPr="007163D4" w:rsidRDefault="00394EB2" w:rsidP="00394EB2">
      <w:pPr>
        <w:autoSpaceDE w:val="0"/>
        <w:autoSpaceDN w:val="0"/>
        <w:adjustRightInd w:val="0"/>
        <w:rPr>
          <w:rFonts w:ascii="Verdana" w:hAnsi="Verdana"/>
          <w:sz w:val="20"/>
          <w:u w:val="single"/>
        </w:rPr>
      </w:pPr>
      <w:r w:rsidRPr="007163D4">
        <w:rPr>
          <w:rFonts w:ascii="Verdana" w:hAnsi="Verdana"/>
          <w:sz w:val="20"/>
          <w:u w:val="single"/>
        </w:rPr>
        <w:t>Radiopharmaceuticals</w:t>
      </w:r>
    </w:p>
    <w:p w:rsidR="00394EB2" w:rsidRPr="007163D4" w:rsidRDefault="00394EB2" w:rsidP="00394EB2">
      <w:pPr>
        <w:autoSpaceDE w:val="0"/>
        <w:autoSpaceDN w:val="0"/>
        <w:adjustRightInd w:val="0"/>
        <w:rPr>
          <w:rFonts w:ascii="Verdana" w:hAnsi="Verdana"/>
          <w:sz w:val="20"/>
        </w:rPr>
      </w:pPr>
      <w:r w:rsidRPr="007163D4">
        <w:rPr>
          <w:rFonts w:ascii="Verdana" w:hAnsi="Verdana"/>
          <w:sz w:val="20"/>
        </w:rPr>
        <w:t xml:space="preserve">There are no </w:t>
      </w:r>
      <w:r w:rsidR="007163D4" w:rsidRPr="007163D4">
        <w:rPr>
          <w:rFonts w:ascii="Verdana" w:hAnsi="Verdana"/>
          <w:sz w:val="20"/>
        </w:rPr>
        <w:t>randomis</w:t>
      </w:r>
      <w:r w:rsidRPr="007163D4">
        <w:rPr>
          <w:rFonts w:ascii="Verdana" w:hAnsi="Verdana"/>
          <w:sz w:val="20"/>
        </w:rPr>
        <w:t xml:space="preserve">ed trials of radiopharmaceuticals in medullary thyroid cancer, but by extrapolation from other neuroendocrine tumours, patients with octreotide or MIBG-avid tumours have been managed with octreotide or MIBG radiopharmaceutical therapy with case reports of benefit.    </w:t>
      </w:r>
    </w:p>
    <w:p w:rsidR="007163D4" w:rsidRDefault="007163D4" w:rsidP="00394EB2">
      <w:pPr>
        <w:autoSpaceDE w:val="0"/>
        <w:autoSpaceDN w:val="0"/>
        <w:adjustRightInd w:val="0"/>
        <w:rPr>
          <w:rFonts w:ascii="Verdana" w:hAnsi="Verdana"/>
          <w:sz w:val="20"/>
        </w:rPr>
      </w:pPr>
    </w:p>
    <w:p w:rsidR="008C38B8" w:rsidRPr="008C38B8" w:rsidRDefault="008C38B8" w:rsidP="00D80C86">
      <w:pPr>
        <w:autoSpaceDE w:val="0"/>
        <w:autoSpaceDN w:val="0"/>
        <w:adjustRightInd w:val="0"/>
        <w:rPr>
          <w:rFonts w:ascii="Verdana" w:hAnsi="Verdana"/>
          <w:sz w:val="20"/>
          <w:u w:val="single"/>
        </w:rPr>
      </w:pPr>
      <w:r w:rsidRPr="008C38B8">
        <w:rPr>
          <w:rFonts w:ascii="Verdana" w:hAnsi="Verdana"/>
          <w:sz w:val="20"/>
          <w:u w:val="single"/>
        </w:rPr>
        <w:t>Vandetanib</w:t>
      </w:r>
    </w:p>
    <w:p w:rsidR="008C38B8" w:rsidRPr="008C38B8" w:rsidRDefault="0057026F" w:rsidP="00D80C86">
      <w:pPr>
        <w:autoSpaceDE w:val="0"/>
        <w:autoSpaceDN w:val="0"/>
        <w:adjustRightInd w:val="0"/>
        <w:rPr>
          <w:rFonts w:ascii="Verdana" w:hAnsi="Verdana"/>
          <w:sz w:val="20"/>
        </w:rPr>
      </w:pPr>
      <w:r>
        <w:rPr>
          <w:rFonts w:ascii="Verdana" w:hAnsi="Verdana"/>
          <w:sz w:val="20"/>
        </w:rPr>
        <w:t>In a randomized</w:t>
      </w:r>
      <w:r w:rsidR="008C38B8">
        <w:rPr>
          <w:rFonts w:ascii="Verdana" w:hAnsi="Verdana"/>
          <w:sz w:val="20"/>
        </w:rPr>
        <w:t xml:space="preserve"> trial </w:t>
      </w:r>
      <w:r>
        <w:rPr>
          <w:rFonts w:ascii="Verdana" w:hAnsi="Verdana"/>
          <w:sz w:val="20"/>
        </w:rPr>
        <w:t xml:space="preserve">(Wells et al 2011), </w:t>
      </w:r>
      <w:r w:rsidR="008C38B8">
        <w:rPr>
          <w:rFonts w:ascii="Verdana" w:hAnsi="Verdana"/>
          <w:sz w:val="20"/>
        </w:rPr>
        <w:t xml:space="preserve">331 patients were randomized 2:1 between vandetanib 300mg daily or </w:t>
      </w:r>
      <w:r w:rsidR="008C38B8" w:rsidRPr="008C38B8">
        <w:rPr>
          <w:rFonts w:ascii="Verdana" w:hAnsi="Verdana"/>
          <w:sz w:val="20"/>
          <w:szCs w:val="20"/>
        </w:rPr>
        <w:t xml:space="preserve">placebo.  </w:t>
      </w:r>
      <w:r w:rsidR="008C38B8" w:rsidRPr="008C38B8">
        <w:rPr>
          <w:rFonts w:ascii="Verdana" w:hAnsi="Verdana" w:cs="Lucida Sans Unicode"/>
          <w:sz w:val="20"/>
          <w:szCs w:val="20"/>
        </w:rPr>
        <w:t xml:space="preserve">The study met its primary objective </w:t>
      </w:r>
      <w:r w:rsidR="008C38B8">
        <w:rPr>
          <w:rFonts w:ascii="Verdana" w:hAnsi="Verdana" w:cs="Lucida Sans Unicode"/>
          <w:sz w:val="20"/>
          <w:szCs w:val="20"/>
        </w:rPr>
        <w:t>with a</w:t>
      </w:r>
      <w:r w:rsidR="008C38B8" w:rsidRPr="008C38B8">
        <w:rPr>
          <w:rFonts w:ascii="Verdana" w:hAnsi="Verdana" w:cs="Lucida Sans Unicode"/>
          <w:sz w:val="20"/>
          <w:szCs w:val="20"/>
        </w:rPr>
        <w:t xml:space="preserve"> PFS prolongation </w:t>
      </w:r>
      <w:r w:rsidR="008C38B8">
        <w:rPr>
          <w:rFonts w:ascii="Verdana" w:hAnsi="Verdana" w:cs="Lucida Sans Unicode"/>
          <w:sz w:val="20"/>
          <w:szCs w:val="20"/>
        </w:rPr>
        <w:t xml:space="preserve">of approximately 11 months </w:t>
      </w:r>
      <w:r w:rsidR="008C38B8" w:rsidRPr="008C38B8">
        <w:rPr>
          <w:rFonts w:ascii="Verdana" w:hAnsi="Verdana" w:cs="Lucida Sans Unicode"/>
          <w:sz w:val="20"/>
          <w:szCs w:val="20"/>
        </w:rPr>
        <w:t xml:space="preserve">with vandetanib versus placebo (hazard ratio [HR], 0.46; 95% CI, 0.31 to 0.69; </w:t>
      </w:r>
      <w:r w:rsidR="008C38B8" w:rsidRPr="008C38B8">
        <w:rPr>
          <w:rStyle w:val="Emphasis"/>
          <w:rFonts w:ascii="Verdana" w:hAnsi="Verdana" w:cs="Lucida Sans Unicode"/>
          <w:sz w:val="20"/>
          <w:szCs w:val="20"/>
        </w:rPr>
        <w:t>P</w:t>
      </w:r>
      <w:r w:rsidR="008C38B8" w:rsidRPr="008C38B8">
        <w:rPr>
          <w:rFonts w:ascii="Verdana" w:hAnsi="Verdana" w:cs="Lucida Sans Unicode"/>
          <w:sz w:val="20"/>
          <w:szCs w:val="20"/>
        </w:rPr>
        <w:t xml:space="preserve"> &lt; .001). Statistically significant advantages for vandetanib were also seen for objective response rate (</w:t>
      </w:r>
      <w:r w:rsidR="008C38B8" w:rsidRPr="008C38B8">
        <w:rPr>
          <w:rStyle w:val="Emphasis"/>
          <w:rFonts w:ascii="Verdana" w:hAnsi="Verdana" w:cs="Lucida Sans Unicode"/>
          <w:sz w:val="20"/>
          <w:szCs w:val="20"/>
        </w:rPr>
        <w:t>P</w:t>
      </w:r>
      <w:r w:rsidR="008C38B8" w:rsidRPr="008C38B8">
        <w:rPr>
          <w:rFonts w:ascii="Verdana" w:hAnsi="Verdana" w:cs="Lucida Sans Unicode"/>
          <w:sz w:val="20"/>
          <w:szCs w:val="20"/>
        </w:rPr>
        <w:t xml:space="preserve"> &lt; .001), disease control rate (</w:t>
      </w:r>
      <w:r w:rsidR="008C38B8" w:rsidRPr="008C38B8">
        <w:rPr>
          <w:rStyle w:val="Emphasis"/>
          <w:rFonts w:ascii="Verdana" w:hAnsi="Verdana" w:cs="Lucida Sans Unicode"/>
          <w:sz w:val="20"/>
          <w:szCs w:val="20"/>
        </w:rPr>
        <w:t>P</w:t>
      </w:r>
      <w:r w:rsidR="008C38B8" w:rsidRPr="008C38B8">
        <w:rPr>
          <w:rFonts w:ascii="Verdana" w:hAnsi="Verdana" w:cs="Lucida Sans Unicode"/>
          <w:sz w:val="20"/>
          <w:szCs w:val="20"/>
        </w:rPr>
        <w:t xml:space="preserve"> = .001), and biochemical response (</w:t>
      </w:r>
      <w:r w:rsidR="008C38B8" w:rsidRPr="008C38B8">
        <w:rPr>
          <w:rStyle w:val="Emphasis"/>
          <w:rFonts w:ascii="Verdana" w:hAnsi="Verdana" w:cs="Lucida Sans Unicode"/>
          <w:sz w:val="20"/>
          <w:szCs w:val="20"/>
        </w:rPr>
        <w:t>P</w:t>
      </w:r>
      <w:r w:rsidR="008C38B8" w:rsidRPr="008C38B8">
        <w:rPr>
          <w:rFonts w:ascii="Verdana" w:hAnsi="Verdana" w:cs="Lucida Sans Unicode"/>
          <w:sz w:val="20"/>
          <w:szCs w:val="20"/>
        </w:rPr>
        <w:t xml:space="preserve"> &lt; .001).</w:t>
      </w:r>
      <w:r w:rsidR="008C38B8">
        <w:rPr>
          <w:rFonts w:ascii="Verdana" w:hAnsi="Verdana" w:cs="Lucida Sans Unicode"/>
          <w:sz w:val="20"/>
          <w:szCs w:val="20"/>
        </w:rPr>
        <w:t xml:space="preserve">  Biochemical response can be associated with significant symptom benefit in patients with calcitonin-related diarrhoea.  </w:t>
      </w:r>
    </w:p>
    <w:p w:rsidR="00AE7743" w:rsidRDefault="00AE7743" w:rsidP="00AE7743">
      <w:pPr>
        <w:autoSpaceDE w:val="0"/>
        <w:autoSpaceDN w:val="0"/>
        <w:adjustRightInd w:val="0"/>
        <w:rPr>
          <w:rFonts w:ascii="Verdana" w:hAnsi="Verdana"/>
          <w:sz w:val="20"/>
        </w:rPr>
      </w:pPr>
    </w:p>
    <w:p w:rsidR="008C38B8" w:rsidRDefault="008C38B8" w:rsidP="00AE7743">
      <w:pPr>
        <w:autoSpaceDE w:val="0"/>
        <w:autoSpaceDN w:val="0"/>
        <w:adjustRightInd w:val="0"/>
        <w:rPr>
          <w:rFonts w:ascii="Verdana" w:hAnsi="Verdana"/>
          <w:sz w:val="20"/>
        </w:rPr>
      </w:pPr>
      <w:r>
        <w:rPr>
          <w:rFonts w:ascii="Verdana" w:hAnsi="Verdana"/>
          <w:sz w:val="20"/>
        </w:rPr>
        <w:t xml:space="preserve">Vandetanib therapy </w:t>
      </w:r>
      <w:r w:rsidR="007163D4">
        <w:rPr>
          <w:rFonts w:ascii="Verdana" w:hAnsi="Verdana"/>
          <w:sz w:val="20"/>
        </w:rPr>
        <w:t xml:space="preserve">was not </w:t>
      </w:r>
      <w:r>
        <w:rPr>
          <w:rFonts w:ascii="Verdana" w:hAnsi="Verdana"/>
          <w:sz w:val="20"/>
        </w:rPr>
        <w:t>been reviewed by the SMC</w:t>
      </w:r>
      <w:r w:rsidR="007163D4">
        <w:rPr>
          <w:rFonts w:ascii="Verdana" w:hAnsi="Verdana"/>
          <w:sz w:val="20"/>
        </w:rPr>
        <w:t xml:space="preserve"> due to lack of submission by the parent company.  It is therefore </w:t>
      </w:r>
      <w:r>
        <w:rPr>
          <w:rFonts w:ascii="Verdana" w:hAnsi="Verdana"/>
          <w:sz w:val="20"/>
        </w:rPr>
        <w:t xml:space="preserve">not routinely funded for medullary thyroid cancer patients in Scotland.  </w:t>
      </w:r>
    </w:p>
    <w:p w:rsidR="0057026F" w:rsidRDefault="0057026F" w:rsidP="00AE7743">
      <w:pPr>
        <w:autoSpaceDE w:val="0"/>
        <w:autoSpaceDN w:val="0"/>
        <w:adjustRightInd w:val="0"/>
        <w:rPr>
          <w:rFonts w:ascii="Verdana" w:hAnsi="Verdana"/>
          <w:sz w:val="20"/>
        </w:rPr>
      </w:pPr>
    </w:p>
    <w:p w:rsidR="0057026F" w:rsidRDefault="0057026F" w:rsidP="0057026F">
      <w:pPr>
        <w:autoSpaceDE w:val="0"/>
        <w:autoSpaceDN w:val="0"/>
        <w:adjustRightInd w:val="0"/>
        <w:ind w:left="720"/>
        <w:rPr>
          <w:rFonts w:ascii="Verdana" w:hAnsi="Verdana"/>
          <w:sz w:val="20"/>
        </w:rPr>
      </w:pPr>
      <w:r>
        <w:rPr>
          <w:rFonts w:ascii="Verdana" w:hAnsi="Verdana"/>
          <w:sz w:val="20"/>
        </w:rPr>
        <w:t xml:space="preserve">Vandetanib 300mg daily </w:t>
      </w:r>
      <w:r w:rsidRPr="0006548F">
        <w:rPr>
          <w:rFonts w:ascii="Verdana" w:hAnsi="Verdana"/>
          <w:sz w:val="20"/>
          <w:szCs w:val="20"/>
        </w:rPr>
        <w:t xml:space="preserve">until disease progression.  Dose modification on the basis of toxicity.  </w:t>
      </w:r>
    </w:p>
    <w:p w:rsidR="00EE2473" w:rsidRDefault="00EE2473" w:rsidP="00AE7743">
      <w:pPr>
        <w:autoSpaceDE w:val="0"/>
        <w:autoSpaceDN w:val="0"/>
        <w:adjustRightInd w:val="0"/>
        <w:rPr>
          <w:rFonts w:ascii="Verdana" w:hAnsi="Verdana"/>
          <w:sz w:val="20"/>
        </w:rPr>
      </w:pPr>
    </w:p>
    <w:p w:rsidR="00EE2473" w:rsidRDefault="00EE2473" w:rsidP="00AE7743">
      <w:pPr>
        <w:autoSpaceDE w:val="0"/>
        <w:autoSpaceDN w:val="0"/>
        <w:adjustRightInd w:val="0"/>
        <w:rPr>
          <w:rFonts w:ascii="Verdana" w:hAnsi="Verdana"/>
          <w:sz w:val="20"/>
          <w:u w:val="single"/>
        </w:rPr>
      </w:pPr>
      <w:r>
        <w:rPr>
          <w:rFonts w:ascii="Verdana" w:hAnsi="Verdana"/>
          <w:sz w:val="20"/>
          <w:u w:val="single"/>
        </w:rPr>
        <w:t>Carbozantinib</w:t>
      </w:r>
    </w:p>
    <w:p w:rsidR="00EE2473" w:rsidRDefault="0057026F" w:rsidP="00AE7743">
      <w:pPr>
        <w:autoSpaceDE w:val="0"/>
        <w:autoSpaceDN w:val="0"/>
        <w:adjustRightInd w:val="0"/>
        <w:rPr>
          <w:rFonts w:ascii="Verdana" w:hAnsi="Verdana"/>
          <w:sz w:val="20"/>
        </w:rPr>
      </w:pPr>
      <w:r w:rsidRPr="0057026F">
        <w:rPr>
          <w:rFonts w:ascii="Verdana" w:hAnsi="Verdana"/>
          <w:sz w:val="20"/>
        </w:rPr>
        <w:t xml:space="preserve">In a randomised phase III trial </w:t>
      </w:r>
      <w:r>
        <w:rPr>
          <w:rFonts w:ascii="Verdana" w:hAnsi="Verdana"/>
          <w:sz w:val="20"/>
        </w:rPr>
        <w:t xml:space="preserve">in 333 patients with progressive metastatic MTC Elisei et al 2013), carbozantinib was associated with a significant increase in PFS (4.0 versus 11.2 months).  Improvements in PFS were seen regardless of prior therapy and RET mutation status.  Treatment was associated with significant gastrointestinal toxicity in the majority of patients.  </w:t>
      </w:r>
    </w:p>
    <w:p w:rsidR="0057026F" w:rsidRDefault="0057026F" w:rsidP="00AE7743">
      <w:pPr>
        <w:autoSpaceDE w:val="0"/>
        <w:autoSpaceDN w:val="0"/>
        <w:adjustRightInd w:val="0"/>
        <w:rPr>
          <w:rFonts w:ascii="Verdana" w:hAnsi="Verdana"/>
          <w:sz w:val="20"/>
        </w:rPr>
      </w:pPr>
    </w:p>
    <w:p w:rsidR="0057026F" w:rsidRDefault="0057026F" w:rsidP="00AE7743">
      <w:pPr>
        <w:autoSpaceDE w:val="0"/>
        <w:autoSpaceDN w:val="0"/>
        <w:adjustRightInd w:val="0"/>
        <w:rPr>
          <w:rFonts w:ascii="Verdana" w:hAnsi="Verdana"/>
          <w:sz w:val="20"/>
        </w:rPr>
      </w:pPr>
      <w:r>
        <w:rPr>
          <w:rFonts w:ascii="Verdana" w:hAnsi="Verdana"/>
          <w:sz w:val="20"/>
        </w:rPr>
        <w:t xml:space="preserve">Carbozantinib </w:t>
      </w:r>
      <w:r w:rsidR="007163D4">
        <w:rPr>
          <w:rFonts w:ascii="Verdana" w:hAnsi="Verdana"/>
          <w:sz w:val="20"/>
        </w:rPr>
        <w:t>was</w:t>
      </w:r>
      <w:r>
        <w:rPr>
          <w:rFonts w:ascii="Verdana" w:hAnsi="Verdana"/>
          <w:sz w:val="20"/>
        </w:rPr>
        <w:t xml:space="preserve"> assessed by the SMC </w:t>
      </w:r>
      <w:r w:rsidR="007163D4">
        <w:rPr>
          <w:rFonts w:ascii="Verdana" w:hAnsi="Verdana"/>
          <w:sz w:val="20"/>
        </w:rPr>
        <w:t>including a PACES meeting and the submission was rejected</w:t>
      </w:r>
      <w:r>
        <w:rPr>
          <w:rFonts w:ascii="Verdana" w:hAnsi="Verdana"/>
          <w:sz w:val="20"/>
        </w:rPr>
        <w:t xml:space="preserve">.  </w:t>
      </w:r>
      <w:r w:rsidR="007163D4">
        <w:rPr>
          <w:rFonts w:ascii="Verdana" w:hAnsi="Verdana"/>
          <w:sz w:val="20"/>
        </w:rPr>
        <w:t xml:space="preserve">Funding is therefore only be available in exceptional cases via the IPTR process.  </w:t>
      </w:r>
    </w:p>
    <w:p w:rsidR="0057026F" w:rsidRDefault="0057026F" w:rsidP="00AE7743">
      <w:pPr>
        <w:autoSpaceDE w:val="0"/>
        <w:autoSpaceDN w:val="0"/>
        <w:adjustRightInd w:val="0"/>
        <w:rPr>
          <w:rFonts w:ascii="Verdana" w:hAnsi="Verdana"/>
          <w:sz w:val="20"/>
        </w:rPr>
      </w:pPr>
    </w:p>
    <w:p w:rsidR="0057026F" w:rsidRPr="0057026F" w:rsidRDefault="0057026F" w:rsidP="0057026F">
      <w:pPr>
        <w:autoSpaceDE w:val="0"/>
        <w:autoSpaceDN w:val="0"/>
        <w:adjustRightInd w:val="0"/>
        <w:ind w:left="720"/>
        <w:rPr>
          <w:rFonts w:ascii="Verdana" w:hAnsi="Verdana"/>
          <w:sz w:val="20"/>
        </w:rPr>
      </w:pPr>
      <w:r>
        <w:rPr>
          <w:rFonts w:ascii="Verdana" w:hAnsi="Verdana"/>
          <w:sz w:val="20"/>
        </w:rPr>
        <w:lastRenderedPageBreak/>
        <w:t xml:space="preserve">Carbozantinib 140mg daily </w:t>
      </w:r>
      <w:r w:rsidRPr="0006548F">
        <w:rPr>
          <w:rFonts w:ascii="Verdana" w:hAnsi="Verdana"/>
          <w:sz w:val="20"/>
          <w:szCs w:val="20"/>
        </w:rPr>
        <w:t xml:space="preserve">until disease progression.  Dose modification on the basis of toxicity.  </w:t>
      </w:r>
    </w:p>
    <w:p w:rsidR="00EE2473" w:rsidRDefault="00EE2473" w:rsidP="00AE7743">
      <w:pPr>
        <w:autoSpaceDE w:val="0"/>
        <w:autoSpaceDN w:val="0"/>
        <w:adjustRightInd w:val="0"/>
        <w:rPr>
          <w:rFonts w:ascii="Verdana" w:hAnsi="Verdana"/>
          <w:sz w:val="20"/>
        </w:rPr>
      </w:pPr>
    </w:p>
    <w:p w:rsidR="00EE2473" w:rsidRDefault="00EE2473" w:rsidP="00AE7743">
      <w:pPr>
        <w:autoSpaceDE w:val="0"/>
        <w:autoSpaceDN w:val="0"/>
        <w:adjustRightInd w:val="0"/>
        <w:rPr>
          <w:rFonts w:ascii="Verdana" w:hAnsi="Verdana"/>
          <w:sz w:val="20"/>
          <w:u w:val="single"/>
        </w:rPr>
      </w:pPr>
      <w:r>
        <w:rPr>
          <w:rFonts w:ascii="Verdana" w:hAnsi="Verdana"/>
          <w:sz w:val="20"/>
          <w:u w:val="single"/>
        </w:rPr>
        <w:t>Other TKIs</w:t>
      </w:r>
    </w:p>
    <w:p w:rsidR="00EE2473" w:rsidRPr="00EE2473" w:rsidRDefault="00EE2473" w:rsidP="00AE7743">
      <w:pPr>
        <w:autoSpaceDE w:val="0"/>
        <w:autoSpaceDN w:val="0"/>
        <w:adjustRightInd w:val="0"/>
        <w:rPr>
          <w:rFonts w:ascii="Verdana" w:hAnsi="Verdana"/>
          <w:sz w:val="20"/>
        </w:rPr>
      </w:pPr>
      <w:r>
        <w:rPr>
          <w:rFonts w:ascii="Verdana" w:hAnsi="Verdana"/>
          <w:sz w:val="20"/>
        </w:rPr>
        <w:t xml:space="preserve">Phase II studies suggest that other TKIs may also be associated with disease stabilization in medullary thyroid cancer.  These include sorafenib, sunitinib, motesanib, axitinib and pazopanib.  </w:t>
      </w:r>
    </w:p>
    <w:p w:rsidR="00C9282E" w:rsidRDefault="00C9282E" w:rsidP="00AE7743">
      <w:pPr>
        <w:autoSpaceDE w:val="0"/>
        <w:autoSpaceDN w:val="0"/>
        <w:adjustRightInd w:val="0"/>
        <w:rPr>
          <w:rFonts w:ascii="Verdana" w:hAnsi="Verdana"/>
          <w:sz w:val="20"/>
          <w:u w:val="single"/>
        </w:rPr>
      </w:pPr>
    </w:p>
    <w:p w:rsidR="00C9282E" w:rsidRDefault="00C9282E" w:rsidP="00AE7743">
      <w:pPr>
        <w:autoSpaceDE w:val="0"/>
        <w:autoSpaceDN w:val="0"/>
        <w:adjustRightInd w:val="0"/>
        <w:rPr>
          <w:rFonts w:ascii="Verdana" w:hAnsi="Verdana"/>
          <w:sz w:val="20"/>
          <w:u w:val="single"/>
        </w:rPr>
      </w:pPr>
    </w:p>
    <w:p w:rsidR="008C38B8" w:rsidRDefault="008C38B8" w:rsidP="00AE7743">
      <w:pPr>
        <w:autoSpaceDE w:val="0"/>
        <w:autoSpaceDN w:val="0"/>
        <w:adjustRightInd w:val="0"/>
        <w:rPr>
          <w:rFonts w:ascii="Verdana" w:hAnsi="Verdana"/>
          <w:sz w:val="20"/>
          <w:u w:val="single"/>
        </w:rPr>
      </w:pPr>
      <w:r>
        <w:rPr>
          <w:rFonts w:ascii="Verdana" w:hAnsi="Verdana"/>
          <w:sz w:val="20"/>
          <w:u w:val="single"/>
        </w:rPr>
        <w:t>Other SACT</w:t>
      </w:r>
    </w:p>
    <w:p w:rsidR="008C38B8" w:rsidRDefault="008C38B8" w:rsidP="00AE7743">
      <w:pPr>
        <w:autoSpaceDE w:val="0"/>
        <w:autoSpaceDN w:val="0"/>
        <w:adjustRightInd w:val="0"/>
        <w:rPr>
          <w:rFonts w:ascii="Verdana" w:hAnsi="Verdana"/>
          <w:sz w:val="20"/>
        </w:rPr>
      </w:pPr>
      <w:r>
        <w:rPr>
          <w:rFonts w:ascii="Verdana" w:hAnsi="Verdana"/>
          <w:sz w:val="20"/>
        </w:rPr>
        <w:t>Due to the relative rarity of this disease, there are no other randomized trials to guide therapy.  Patients have been managed with somatostatin ana</w:t>
      </w:r>
      <w:r w:rsidR="00791B29">
        <w:rPr>
          <w:rFonts w:ascii="Verdana" w:hAnsi="Verdana"/>
          <w:sz w:val="20"/>
        </w:rPr>
        <w:t>logues for diarrh</w:t>
      </w:r>
      <w:r>
        <w:rPr>
          <w:rFonts w:ascii="Verdana" w:hAnsi="Verdana"/>
          <w:sz w:val="20"/>
        </w:rPr>
        <w:t xml:space="preserve">oea, which may, by analogy with other NETs, </w:t>
      </w:r>
      <w:r w:rsidR="000C5325">
        <w:rPr>
          <w:rFonts w:ascii="Verdana" w:hAnsi="Verdana"/>
          <w:sz w:val="20"/>
        </w:rPr>
        <w:t xml:space="preserve">also </w:t>
      </w:r>
      <w:r>
        <w:rPr>
          <w:rFonts w:ascii="Verdana" w:hAnsi="Verdana"/>
          <w:sz w:val="20"/>
        </w:rPr>
        <w:t xml:space="preserve">alter the natural history of the disease.  </w:t>
      </w:r>
    </w:p>
    <w:p w:rsidR="00EE2473" w:rsidRDefault="00EE2473" w:rsidP="00AE7743">
      <w:pPr>
        <w:autoSpaceDE w:val="0"/>
        <w:autoSpaceDN w:val="0"/>
        <w:adjustRightInd w:val="0"/>
        <w:rPr>
          <w:rFonts w:ascii="Verdana" w:hAnsi="Verdana"/>
          <w:sz w:val="20"/>
        </w:rPr>
      </w:pPr>
    </w:p>
    <w:p w:rsidR="00EE2473" w:rsidRDefault="00EE2473" w:rsidP="00AE7743">
      <w:pPr>
        <w:autoSpaceDE w:val="0"/>
        <w:autoSpaceDN w:val="0"/>
        <w:adjustRightInd w:val="0"/>
        <w:rPr>
          <w:rFonts w:ascii="Verdana" w:hAnsi="Verdana"/>
          <w:sz w:val="20"/>
        </w:rPr>
      </w:pPr>
      <w:r>
        <w:rPr>
          <w:rFonts w:ascii="Verdana" w:hAnsi="Verdana"/>
          <w:sz w:val="20"/>
        </w:rPr>
        <w:t xml:space="preserve">There is no good data about efficacy of cytotoxic chemotherapy in this disease.  Small case series have reported some responses with agents used in other NETs such as dacarbazine, doxorubicin and cisplatin.  </w:t>
      </w:r>
    </w:p>
    <w:p w:rsidR="00AE7743" w:rsidRDefault="00AE7743" w:rsidP="00AE7743">
      <w:pPr>
        <w:autoSpaceDE w:val="0"/>
        <w:autoSpaceDN w:val="0"/>
        <w:adjustRightInd w:val="0"/>
        <w:rPr>
          <w:rFonts w:ascii="Verdana" w:hAnsi="Verdana"/>
          <w:sz w:val="20"/>
        </w:rPr>
      </w:pPr>
    </w:p>
    <w:p w:rsidR="00AE7743" w:rsidRDefault="001606DA" w:rsidP="00AE7743">
      <w:pPr>
        <w:autoSpaceDE w:val="0"/>
        <w:autoSpaceDN w:val="0"/>
        <w:adjustRightInd w:val="0"/>
        <w:rPr>
          <w:rFonts w:ascii="Verdana" w:hAnsi="Verdana"/>
          <w:b/>
          <w:bCs/>
          <w:sz w:val="20"/>
        </w:rPr>
      </w:pPr>
      <w:r>
        <w:rPr>
          <w:rFonts w:ascii="Verdana" w:hAnsi="Verdana"/>
          <w:b/>
          <w:bCs/>
          <w:sz w:val="20"/>
        </w:rPr>
        <w:t>Follow-Up</w:t>
      </w:r>
    </w:p>
    <w:p w:rsidR="00AE7743" w:rsidRPr="001606DA" w:rsidRDefault="001606DA" w:rsidP="00AE7743">
      <w:pPr>
        <w:autoSpaceDE w:val="0"/>
        <w:autoSpaceDN w:val="0"/>
        <w:adjustRightInd w:val="0"/>
        <w:rPr>
          <w:rFonts w:ascii="Verdana" w:hAnsi="Verdana"/>
          <w:bCs/>
          <w:sz w:val="20"/>
        </w:rPr>
      </w:pPr>
      <w:r w:rsidRPr="001606DA">
        <w:rPr>
          <w:rFonts w:ascii="Verdana" w:hAnsi="Verdana"/>
          <w:bCs/>
          <w:sz w:val="20"/>
        </w:rPr>
        <w:t>Mo</w:t>
      </w:r>
      <w:r>
        <w:rPr>
          <w:rFonts w:ascii="Verdana" w:hAnsi="Verdana"/>
          <w:bCs/>
          <w:sz w:val="20"/>
        </w:rPr>
        <w:t>st patients from Lothian are followed-up by the endocrine service. Patients with genetic syndromes will usually be followed up by their endocrinologist</w:t>
      </w:r>
      <w:r w:rsidR="003947DF">
        <w:rPr>
          <w:rFonts w:ascii="Verdana" w:hAnsi="Verdana"/>
          <w:bCs/>
          <w:sz w:val="20"/>
        </w:rPr>
        <w:t xml:space="preserve"> as they will require ongoing surveillance for other issues.</w:t>
      </w:r>
      <w:r>
        <w:rPr>
          <w:rFonts w:ascii="Verdana" w:hAnsi="Verdana"/>
          <w:bCs/>
          <w:sz w:val="20"/>
        </w:rPr>
        <w:t xml:space="preserve"> </w:t>
      </w:r>
      <w:r w:rsidR="003947DF">
        <w:rPr>
          <w:rFonts w:ascii="Verdana" w:hAnsi="Verdana"/>
          <w:bCs/>
          <w:sz w:val="20"/>
        </w:rPr>
        <w:t>S</w:t>
      </w:r>
      <w:r>
        <w:rPr>
          <w:rFonts w:ascii="Verdana" w:hAnsi="Verdana"/>
          <w:bCs/>
          <w:sz w:val="20"/>
        </w:rPr>
        <w:t>poradic patients are followed up by Strachan/Gibb. A calcium/pentagastrin test 3 months post therapy is useful in establishing the success of surgical resection. Thereafter</w:t>
      </w:r>
      <w:r w:rsidR="003947DF">
        <w:rPr>
          <w:rFonts w:ascii="Verdana" w:hAnsi="Verdana"/>
          <w:bCs/>
          <w:sz w:val="20"/>
        </w:rPr>
        <w:t>,</w:t>
      </w:r>
      <w:r>
        <w:rPr>
          <w:rFonts w:ascii="Verdana" w:hAnsi="Verdana"/>
          <w:bCs/>
          <w:sz w:val="20"/>
        </w:rPr>
        <w:t xml:space="preserve"> basal calcitonin/CEA levels are typically used for surveillance. Patients are typically reviewed 3, 6 and 12 months post resection and thereafter annually if no evidence of residual disease. A baseline neck USS should be performed in all patients post surgery, especially if there is detectable calcitonin. Cross-sectional imaging may also be required if there is detectable calcitonin, though recurrence an metastatic disease can be hard to detect when calcit</w:t>
      </w:r>
      <w:r w:rsidR="003947DF">
        <w:rPr>
          <w:rFonts w:ascii="Verdana" w:hAnsi="Verdana"/>
          <w:bCs/>
          <w:sz w:val="20"/>
        </w:rPr>
        <w:t xml:space="preserve">onin levels are only borderline. CT/MRI may be used; FDG-PET is not that useful and DOTA-octreotate PET is probably a better option. Nuclear medicine imaging scans may </w:t>
      </w:r>
      <w:r w:rsidR="00791B29">
        <w:rPr>
          <w:rFonts w:ascii="Verdana" w:hAnsi="Verdana"/>
          <w:bCs/>
          <w:sz w:val="20"/>
        </w:rPr>
        <w:t>also be used to detect recurren</w:t>
      </w:r>
      <w:r w:rsidR="003947DF">
        <w:rPr>
          <w:rFonts w:ascii="Verdana" w:hAnsi="Verdana"/>
          <w:bCs/>
          <w:sz w:val="20"/>
        </w:rPr>
        <w:t>t or metastatic disease, e.g. octreotide, MIBG and DMSA (V).</w:t>
      </w:r>
    </w:p>
    <w:p w:rsidR="0016172F" w:rsidRDefault="0016172F" w:rsidP="00AE7743">
      <w:pPr>
        <w:autoSpaceDE w:val="0"/>
        <w:autoSpaceDN w:val="0"/>
        <w:adjustRightInd w:val="0"/>
        <w:rPr>
          <w:rFonts w:ascii="Verdana" w:hAnsi="Verdana"/>
          <w:sz w:val="20"/>
        </w:rPr>
      </w:pPr>
    </w:p>
    <w:p w:rsidR="0016172F" w:rsidRDefault="0016172F" w:rsidP="00AE7743">
      <w:pPr>
        <w:autoSpaceDE w:val="0"/>
        <w:autoSpaceDN w:val="0"/>
        <w:adjustRightInd w:val="0"/>
        <w:rPr>
          <w:rFonts w:ascii="Verdana" w:hAnsi="Verdana"/>
          <w:sz w:val="20"/>
        </w:rPr>
      </w:pPr>
    </w:p>
    <w:p w:rsidR="00C9282E" w:rsidRDefault="00C9282E">
      <w:pPr>
        <w:rPr>
          <w:rFonts w:ascii="Verdana" w:hAnsi="Verdana"/>
          <w:b/>
          <w:sz w:val="20"/>
        </w:rPr>
      </w:pPr>
      <w:r>
        <w:rPr>
          <w:rFonts w:ascii="Verdana" w:hAnsi="Verdana"/>
          <w:b/>
          <w:sz w:val="20"/>
        </w:rPr>
        <w:br w:type="page"/>
      </w:r>
    </w:p>
    <w:p w:rsidR="008D200C" w:rsidRPr="003947DF" w:rsidRDefault="003947DF" w:rsidP="00AE7743">
      <w:pPr>
        <w:autoSpaceDE w:val="0"/>
        <w:autoSpaceDN w:val="0"/>
        <w:adjustRightInd w:val="0"/>
        <w:rPr>
          <w:rFonts w:ascii="Verdana" w:hAnsi="Verdana"/>
          <w:b/>
          <w:bCs/>
          <w:sz w:val="20"/>
        </w:rPr>
      </w:pPr>
      <w:r>
        <w:rPr>
          <w:rFonts w:ascii="Verdana" w:hAnsi="Verdana"/>
          <w:b/>
          <w:sz w:val="20"/>
        </w:rPr>
        <w:lastRenderedPageBreak/>
        <w:t>5</w:t>
      </w:r>
      <w:r w:rsidRPr="003947DF">
        <w:rPr>
          <w:rFonts w:ascii="Verdana" w:hAnsi="Verdana"/>
          <w:b/>
          <w:sz w:val="20"/>
        </w:rPr>
        <w:t>.</w:t>
      </w:r>
      <w:r w:rsidR="008D200C" w:rsidRPr="003947DF">
        <w:rPr>
          <w:rFonts w:ascii="Verdana" w:hAnsi="Verdana"/>
          <w:b/>
          <w:sz w:val="20"/>
        </w:rPr>
        <w:t xml:space="preserve"> </w:t>
      </w:r>
      <w:r w:rsidRPr="003947DF">
        <w:rPr>
          <w:rFonts w:ascii="Verdana" w:hAnsi="Verdana"/>
          <w:b/>
          <w:bCs/>
          <w:sz w:val="20"/>
        </w:rPr>
        <w:t>ANAPLASTIC THYROID CANCER</w:t>
      </w:r>
    </w:p>
    <w:p w:rsidR="008D200C" w:rsidRDefault="008D200C" w:rsidP="008D200C">
      <w:pPr>
        <w:autoSpaceDE w:val="0"/>
        <w:autoSpaceDN w:val="0"/>
        <w:adjustRightInd w:val="0"/>
        <w:rPr>
          <w:rFonts w:ascii="Verdana" w:hAnsi="Verdana"/>
          <w:bCs/>
          <w:sz w:val="20"/>
        </w:rPr>
      </w:pPr>
    </w:p>
    <w:p w:rsidR="008D200C" w:rsidRPr="00577B53" w:rsidRDefault="003947DF" w:rsidP="008D200C">
      <w:pPr>
        <w:autoSpaceDE w:val="0"/>
        <w:autoSpaceDN w:val="0"/>
        <w:adjustRightInd w:val="0"/>
        <w:rPr>
          <w:rFonts w:ascii="Verdana" w:hAnsi="Verdana"/>
          <w:b/>
          <w:bCs/>
          <w:sz w:val="20"/>
        </w:rPr>
      </w:pPr>
      <w:r>
        <w:rPr>
          <w:rFonts w:ascii="Verdana" w:hAnsi="Verdana"/>
          <w:b/>
          <w:bCs/>
          <w:sz w:val="20"/>
        </w:rPr>
        <w:t>Pathology</w:t>
      </w:r>
    </w:p>
    <w:p w:rsidR="008D200C" w:rsidRDefault="0016172F" w:rsidP="008D200C">
      <w:pPr>
        <w:autoSpaceDE w:val="0"/>
        <w:autoSpaceDN w:val="0"/>
        <w:adjustRightInd w:val="0"/>
        <w:rPr>
          <w:rFonts w:ascii="Verdana" w:hAnsi="Verdana" w:cs="Arial"/>
          <w:sz w:val="20"/>
          <w:szCs w:val="20"/>
        </w:rPr>
      </w:pPr>
      <w:r w:rsidRPr="0016172F">
        <w:rPr>
          <w:rFonts w:ascii="Verdana" w:hAnsi="Verdana" w:cs="Arial"/>
          <w:sz w:val="20"/>
          <w:szCs w:val="20"/>
        </w:rPr>
        <w:t>Undifferentiated (anaplastic) carcinomas are highly malignant cancers of the thyroid. They may be subclassified as small cell or large cell carcinomas. Both grow rapidly and extend to structures beyond the thyroid. Both small cell and large cell carcinomas present as hard, ill-defined masses, often with extension into the structures surrounding the thyroid. Small cell anaplastic thyroid carcinoma must be carefully distinguished from lymphoma. This tumo</w:t>
      </w:r>
      <w:r w:rsidR="003947DF">
        <w:rPr>
          <w:rFonts w:ascii="Verdana" w:hAnsi="Verdana" w:cs="Arial"/>
          <w:sz w:val="20"/>
          <w:szCs w:val="20"/>
        </w:rPr>
        <w:t>u</w:t>
      </w:r>
      <w:r w:rsidRPr="0016172F">
        <w:rPr>
          <w:rFonts w:ascii="Verdana" w:hAnsi="Verdana" w:cs="Arial"/>
          <w:sz w:val="20"/>
          <w:szCs w:val="20"/>
        </w:rPr>
        <w:t>r usually occurs in an older age group and is characterized by extensive local invasion and rapid progression. Five-year survival with this tumor is poor. Death is usually from uncontrolled local cancer in the neck, usually within months of diagnosis.</w:t>
      </w:r>
    </w:p>
    <w:p w:rsidR="00C65A7D" w:rsidRDefault="00C65A7D" w:rsidP="008D200C">
      <w:pPr>
        <w:autoSpaceDE w:val="0"/>
        <w:autoSpaceDN w:val="0"/>
        <w:adjustRightInd w:val="0"/>
        <w:rPr>
          <w:rFonts w:ascii="Verdana" w:hAnsi="Verdana" w:cs="Arial"/>
          <w:sz w:val="20"/>
          <w:szCs w:val="20"/>
        </w:rPr>
      </w:pPr>
    </w:p>
    <w:p w:rsidR="00C65A7D" w:rsidRDefault="00C65A7D" w:rsidP="008D200C">
      <w:pPr>
        <w:autoSpaceDE w:val="0"/>
        <w:autoSpaceDN w:val="0"/>
        <w:adjustRightInd w:val="0"/>
        <w:rPr>
          <w:rFonts w:ascii="Verdana" w:hAnsi="Verdana" w:cs="Arial"/>
          <w:sz w:val="20"/>
          <w:szCs w:val="20"/>
        </w:rPr>
      </w:pPr>
      <w:r>
        <w:rPr>
          <w:rFonts w:ascii="Verdana" w:hAnsi="Verdana" w:cs="Arial"/>
          <w:sz w:val="20"/>
          <w:szCs w:val="20"/>
        </w:rPr>
        <w:t xml:space="preserve">Poorly differentiated thyroid carcinoma represents a disease on the spectrum between differentiated thyroid cancer and anaplastic cancer.  Little evidence is available upon which to base decisions and cases must be considered on an individual basis.  Ideal therapy will include surgery to remove all macroscopic disease and adjuvant therapy with radioactive iodine and/or external bead radiation depending on the clinico-pathological findings.  However, an individualised decision should be made depending on patient and tumour factors including the trajectory of local and distant disease.  </w:t>
      </w:r>
    </w:p>
    <w:p w:rsidR="00C65A7D" w:rsidRPr="0016172F" w:rsidRDefault="00C65A7D" w:rsidP="008D200C">
      <w:pPr>
        <w:autoSpaceDE w:val="0"/>
        <w:autoSpaceDN w:val="0"/>
        <w:adjustRightInd w:val="0"/>
        <w:rPr>
          <w:rFonts w:ascii="Verdana" w:hAnsi="Verdana" w:cs="Arial"/>
          <w:sz w:val="20"/>
          <w:szCs w:val="20"/>
        </w:rPr>
      </w:pPr>
    </w:p>
    <w:p w:rsidR="0016172F" w:rsidRDefault="0016172F" w:rsidP="008D200C">
      <w:pPr>
        <w:autoSpaceDE w:val="0"/>
        <w:autoSpaceDN w:val="0"/>
        <w:adjustRightInd w:val="0"/>
        <w:rPr>
          <w:rFonts w:ascii="Verdana" w:hAnsi="Verdana"/>
          <w:bCs/>
          <w:sz w:val="20"/>
        </w:rPr>
      </w:pPr>
    </w:p>
    <w:p w:rsidR="00362637" w:rsidRPr="00362637" w:rsidRDefault="00362637" w:rsidP="008D200C">
      <w:pPr>
        <w:autoSpaceDE w:val="0"/>
        <w:autoSpaceDN w:val="0"/>
        <w:adjustRightInd w:val="0"/>
        <w:rPr>
          <w:rFonts w:ascii="Verdana" w:hAnsi="Verdana"/>
          <w:b/>
          <w:bCs/>
          <w:sz w:val="20"/>
        </w:rPr>
      </w:pPr>
      <w:r w:rsidRPr="00362637">
        <w:rPr>
          <w:rFonts w:ascii="Verdana" w:hAnsi="Verdana"/>
          <w:b/>
          <w:bCs/>
          <w:sz w:val="20"/>
        </w:rPr>
        <w:t>Staging</w:t>
      </w:r>
    </w:p>
    <w:p w:rsidR="00362637" w:rsidRPr="00A60444" w:rsidRDefault="00362637" w:rsidP="00362637">
      <w:pPr>
        <w:widowControl w:val="0"/>
        <w:autoSpaceDE w:val="0"/>
        <w:autoSpaceDN w:val="0"/>
        <w:adjustRightInd w:val="0"/>
        <w:spacing w:after="240" w:line="260" w:lineRule="atLeast"/>
        <w:rPr>
          <w:rFonts w:ascii="Verdana" w:hAnsi="Verdana" w:cs="Times"/>
          <w:sz w:val="20"/>
          <w:szCs w:val="20"/>
        </w:rPr>
      </w:pPr>
      <w:r w:rsidRPr="00A60444">
        <w:rPr>
          <w:rFonts w:ascii="Verdana" w:hAnsi="Verdana" w:cs="Times"/>
          <w:sz w:val="20"/>
          <w:szCs w:val="20"/>
        </w:rPr>
        <w:t xml:space="preserve">All anaplastic carcinomas are considered pT4 tumours </w:t>
      </w:r>
    </w:p>
    <w:p w:rsidR="00362637" w:rsidRPr="00A60444" w:rsidRDefault="00362637" w:rsidP="00362637">
      <w:pPr>
        <w:widowControl w:val="0"/>
        <w:numPr>
          <w:ilvl w:val="0"/>
          <w:numId w:val="12"/>
        </w:numPr>
        <w:tabs>
          <w:tab w:val="left" w:pos="220"/>
          <w:tab w:val="left" w:pos="720"/>
        </w:tabs>
        <w:autoSpaceDE w:val="0"/>
        <w:autoSpaceDN w:val="0"/>
        <w:adjustRightInd w:val="0"/>
        <w:spacing w:after="240" w:line="260" w:lineRule="atLeast"/>
        <w:ind w:hanging="720"/>
        <w:rPr>
          <w:rFonts w:ascii="Verdana" w:hAnsi="Verdana" w:cs="Times"/>
          <w:sz w:val="20"/>
          <w:szCs w:val="20"/>
        </w:rPr>
      </w:pPr>
      <w:r w:rsidRPr="00A60444">
        <w:rPr>
          <w:rFonts w:ascii="Verdana" w:hAnsi="Verdana" w:cs="Times"/>
          <w:sz w:val="20"/>
          <w:szCs w:val="20"/>
        </w:rPr>
        <w:t>pT4a  Anaplastic carcinoma limited to thyroid  </w:t>
      </w:r>
    </w:p>
    <w:p w:rsidR="00362637" w:rsidRPr="00C9282E" w:rsidRDefault="00362637" w:rsidP="008D200C">
      <w:pPr>
        <w:widowControl w:val="0"/>
        <w:numPr>
          <w:ilvl w:val="0"/>
          <w:numId w:val="12"/>
        </w:numPr>
        <w:tabs>
          <w:tab w:val="left" w:pos="220"/>
          <w:tab w:val="left" w:pos="720"/>
        </w:tabs>
        <w:autoSpaceDE w:val="0"/>
        <w:autoSpaceDN w:val="0"/>
        <w:adjustRightInd w:val="0"/>
        <w:spacing w:after="240" w:line="260" w:lineRule="atLeast"/>
        <w:ind w:hanging="720"/>
        <w:rPr>
          <w:rFonts w:ascii="Verdana" w:hAnsi="Verdana" w:cs="Times"/>
          <w:sz w:val="20"/>
          <w:szCs w:val="20"/>
        </w:rPr>
      </w:pPr>
      <w:r w:rsidRPr="00A60444">
        <w:rPr>
          <w:rFonts w:ascii="Verdana" w:hAnsi="Verdana" w:cs="Times"/>
          <w:sz w:val="20"/>
          <w:szCs w:val="20"/>
        </w:rPr>
        <w:t>pT4b  Anaplastic carcinoma extends beyond thyroid capsule  </w:t>
      </w:r>
    </w:p>
    <w:p w:rsidR="008D200C" w:rsidRPr="00625539" w:rsidRDefault="008D200C" w:rsidP="008D200C">
      <w:pPr>
        <w:rPr>
          <w:rFonts w:ascii="Verdana" w:hAnsi="Verdana"/>
          <w:b/>
          <w:sz w:val="20"/>
        </w:rPr>
      </w:pPr>
      <w:r>
        <w:rPr>
          <w:rFonts w:ascii="Verdana" w:hAnsi="Verdana"/>
          <w:b/>
          <w:sz w:val="20"/>
        </w:rPr>
        <w:t>I</w:t>
      </w:r>
      <w:r w:rsidR="00A60444">
        <w:rPr>
          <w:rFonts w:ascii="Verdana" w:hAnsi="Verdana"/>
          <w:b/>
          <w:sz w:val="20"/>
        </w:rPr>
        <w:t>nvestigations</w:t>
      </w:r>
    </w:p>
    <w:p w:rsidR="008D200C" w:rsidRDefault="008D200C" w:rsidP="008D200C">
      <w:pPr>
        <w:rPr>
          <w:rFonts w:ascii="Verdana" w:hAnsi="Verdana"/>
          <w:sz w:val="20"/>
        </w:rPr>
      </w:pPr>
      <w:r>
        <w:rPr>
          <w:rFonts w:ascii="Verdana" w:hAnsi="Verdana"/>
          <w:sz w:val="20"/>
        </w:rPr>
        <w:t xml:space="preserve">Imaging: </w:t>
      </w:r>
    </w:p>
    <w:p w:rsidR="008D200C" w:rsidRDefault="0016172F" w:rsidP="002C15A9">
      <w:pPr>
        <w:numPr>
          <w:ilvl w:val="0"/>
          <w:numId w:val="5"/>
        </w:numPr>
        <w:rPr>
          <w:rFonts w:ascii="Verdana" w:hAnsi="Verdana"/>
          <w:sz w:val="20"/>
        </w:rPr>
      </w:pPr>
      <w:r>
        <w:rPr>
          <w:rFonts w:ascii="Verdana" w:hAnsi="Verdana"/>
          <w:sz w:val="20"/>
        </w:rPr>
        <w:t>CT Scan neck/ thorax and abdo</w:t>
      </w:r>
    </w:p>
    <w:p w:rsidR="008D200C" w:rsidRDefault="008D200C" w:rsidP="008D200C">
      <w:pPr>
        <w:rPr>
          <w:rFonts w:ascii="Verdana" w:hAnsi="Verdana"/>
          <w:sz w:val="20"/>
        </w:rPr>
      </w:pPr>
      <w:r>
        <w:rPr>
          <w:rFonts w:ascii="Verdana" w:hAnsi="Verdana"/>
          <w:sz w:val="20"/>
        </w:rPr>
        <w:t xml:space="preserve">Blood tests: </w:t>
      </w:r>
    </w:p>
    <w:p w:rsidR="008D200C" w:rsidRDefault="008D200C" w:rsidP="002C15A9">
      <w:pPr>
        <w:numPr>
          <w:ilvl w:val="0"/>
          <w:numId w:val="7"/>
        </w:numPr>
        <w:rPr>
          <w:rFonts w:ascii="Verdana" w:hAnsi="Verdana"/>
          <w:sz w:val="20"/>
        </w:rPr>
      </w:pPr>
      <w:r>
        <w:rPr>
          <w:rFonts w:ascii="Verdana" w:hAnsi="Verdana"/>
          <w:sz w:val="20"/>
        </w:rPr>
        <w:t xml:space="preserve">FBC, U&amp;E, LFTs, </w:t>
      </w:r>
      <w:r w:rsidR="00A60444">
        <w:rPr>
          <w:rFonts w:ascii="Verdana" w:hAnsi="Verdana"/>
          <w:sz w:val="20"/>
        </w:rPr>
        <w:t>calcium</w:t>
      </w:r>
      <w:r>
        <w:rPr>
          <w:rFonts w:ascii="Verdana" w:hAnsi="Verdana"/>
          <w:sz w:val="20"/>
        </w:rPr>
        <w:t>, thyroid function</w:t>
      </w:r>
      <w:r w:rsidR="0016172F">
        <w:rPr>
          <w:rFonts w:ascii="Verdana" w:hAnsi="Verdana"/>
          <w:sz w:val="20"/>
        </w:rPr>
        <w:t>, LDH</w:t>
      </w:r>
    </w:p>
    <w:p w:rsidR="008D200C" w:rsidRDefault="008D200C" w:rsidP="008D200C">
      <w:pPr>
        <w:rPr>
          <w:rFonts w:ascii="Verdana" w:hAnsi="Verdana"/>
          <w:sz w:val="20"/>
        </w:rPr>
      </w:pPr>
      <w:r>
        <w:rPr>
          <w:rFonts w:ascii="Verdana" w:hAnsi="Verdana"/>
          <w:sz w:val="20"/>
        </w:rPr>
        <w:t>Cytology</w:t>
      </w:r>
    </w:p>
    <w:p w:rsidR="008D200C" w:rsidRDefault="008D200C" w:rsidP="002C15A9">
      <w:pPr>
        <w:numPr>
          <w:ilvl w:val="0"/>
          <w:numId w:val="8"/>
        </w:numPr>
        <w:rPr>
          <w:rFonts w:ascii="Verdana" w:hAnsi="Verdana"/>
          <w:sz w:val="20"/>
        </w:rPr>
      </w:pPr>
      <w:r>
        <w:rPr>
          <w:rFonts w:ascii="Verdana" w:hAnsi="Verdana"/>
          <w:sz w:val="20"/>
        </w:rPr>
        <w:t xml:space="preserve">FNAC </w:t>
      </w:r>
      <w:r w:rsidR="0016172F">
        <w:rPr>
          <w:rFonts w:ascii="Verdana" w:hAnsi="Verdana"/>
          <w:sz w:val="20"/>
        </w:rPr>
        <w:t>thyroid or core biopsy of metastatic lesion</w:t>
      </w:r>
    </w:p>
    <w:p w:rsidR="008D200C" w:rsidRPr="00CB3C5E" w:rsidRDefault="008D200C" w:rsidP="008D200C">
      <w:pPr>
        <w:autoSpaceDE w:val="0"/>
        <w:autoSpaceDN w:val="0"/>
        <w:adjustRightInd w:val="0"/>
        <w:rPr>
          <w:rFonts w:ascii="Verdana" w:hAnsi="Verdana"/>
          <w:bCs/>
          <w:sz w:val="20"/>
        </w:rPr>
      </w:pPr>
    </w:p>
    <w:p w:rsidR="008D200C" w:rsidRDefault="008D200C" w:rsidP="008D200C">
      <w:pPr>
        <w:autoSpaceDE w:val="0"/>
        <w:autoSpaceDN w:val="0"/>
        <w:adjustRightInd w:val="0"/>
        <w:rPr>
          <w:rFonts w:ascii="Verdana" w:hAnsi="Verdana"/>
          <w:b/>
          <w:sz w:val="20"/>
        </w:rPr>
      </w:pPr>
      <w:r>
        <w:rPr>
          <w:rFonts w:ascii="Verdana" w:hAnsi="Verdana"/>
          <w:b/>
          <w:sz w:val="20"/>
        </w:rPr>
        <w:t>S</w:t>
      </w:r>
      <w:r w:rsidR="00A60444">
        <w:rPr>
          <w:rFonts w:ascii="Verdana" w:hAnsi="Verdana"/>
          <w:b/>
          <w:sz w:val="20"/>
        </w:rPr>
        <w:t>urgery</w:t>
      </w:r>
    </w:p>
    <w:p w:rsidR="00C65A7D" w:rsidRPr="00C65A7D" w:rsidRDefault="00791B29" w:rsidP="008D200C">
      <w:pPr>
        <w:autoSpaceDE w:val="0"/>
        <w:autoSpaceDN w:val="0"/>
        <w:adjustRightInd w:val="0"/>
        <w:rPr>
          <w:rFonts w:ascii="Verdana" w:hAnsi="Verdana" w:cs="Helvetica"/>
          <w:sz w:val="20"/>
          <w:szCs w:val="20"/>
        </w:rPr>
      </w:pPr>
      <w:r>
        <w:rPr>
          <w:rFonts w:ascii="Verdana" w:hAnsi="Verdana" w:cs="Helvetica"/>
          <w:sz w:val="20"/>
          <w:szCs w:val="20"/>
        </w:rPr>
        <w:t>S</w:t>
      </w:r>
      <w:r w:rsidRPr="00791B29">
        <w:rPr>
          <w:rFonts w:ascii="Verdana" w:hAnsi="Verdana" w:cs="Helvetica"/>
          <w:sz w:val="20"/>
          <w:szCs w:val="20"/>
        </w:rPr>
        <w:t xml:space="preserve">urgery with adjuvant therapy should be considered in select cases deemed suitable. </w:t>
      </w:r>
      <w:r w:rsidR="00C65A7D">
        <w:rPr>
          <w:rFonts w:ascii="Verdana" w:hAnsi="Verdana" w:cs="Helvetica"/>
          <w:sz w:val="20"/>
          <w:szCs w:val="20"/>
        </w:rPr>
        <w:t xml:space="preserve"> These will include patients who are deemed fit, and with limited loco-regional disease.  </w:t>
      </w:r>
      <w:r w:rsidRPr="00791B29">
        <w:rPr>
          <w:rFonts w:ascii="Verdana" w:hAnsi="Verdana" w:cs="Helvetica"/>
          <w:sz w:val="20"/>
          <w:szCs w:val="20"/>
        </w:rPr>
        <w:t>Tracheostomy may sometimes be indicated in cases where the diagnosis is unclear and time is required to reach a diagnosis and afford the patient time to arrange their affairs. In most settings, tracheostomy should be avoided.</w:t>
      </w:r>
    </w:p>
    <w:p w:rsidR="008D200C" w:rsidRDefault="008D200C" w:rsidP="008D200C">
      <w:pPr>
        <w:autoSpaceDE w:val="0"/>
        <w:autoSpaceDN w:val="0"/>
        <w:adjustRightInd w:val="0"/>
        <w:rPr>
          <w:rFonts w:ascii="Verdana" w:hAnsi="Verdana"/>
          <w:b/>
          <w:sz w:val="20"/>
        </w:rPr>
      </w:pPr>
    </w:p>
    <w:p w:rsidR="00A60444" w:rsidRDefault="00A60444" w:rsidP="008D200C">
      <w:pPr>
        <w:autoSpaceDE w:val="0"/>
        <w:autoSpaceDN w:val="0"/>
        <w:adjustRightInd w:val="0"/>
        <w:rPr>
          <w:rFonts w:ascii="Verdana" w:hAnsi="Verdana"/>
          <w:b/>
          <w:sz w:val="20"/>
        </w:rPr>
      </w:pPr>
      <w:r>
        <w:rPr>
          <w:rFonts w:ascii="Verdana" w:hAnsi="Verdana"/>
          <w:b/>
          <w:sz w:val="20"/>
        </w:rPr>
        <w:t>TSH Suppression and Radio-Iodine</w:t>
      </w:r>
    </w:p>
    <w:p w:rsidR="00A60444" w:rsidRDefault="00A60444" w:rsidP="008D200C">
      <w:pPr>
        <w:autoSpaceDE w:val="0"/>
        <w:autoSpaceDN w:val="0"/>
        <w:adjustRightInd w:val="0"/>
        <w:rPr>
          <w:rFonts w:ascii="Verdana" w:hAnsi="Verdana"/>
          <w:sz w:val="20"/>
        </w:rPr>
      </w:pPr>
      <w:r>
        <w:rPr>
          <w:rFonts w:ascii="Verdana" w:hAnsi="Verdana"/>
          <w:sz w:val="20"/>
        </w:rPr>
        <w:t>There is no role for TSH suppression or RAI in the management of anaplastic thyroid cancer.</w:t>
      </w:r>
    </w:p>
    <w:p w:rsidR="00A60444" w:rsidRDefault="00A60444" w:rsidP="008D200C">
      <w:pPr>
        <w:autoSpaceDE w:val="0"/>
        <w:autoSpaceDN w:val="0"/>
        <w:adjustRightInd w:val="0"/>
        <w:rPr>
          <w:rFonts w:ascii="Verdana" w:hAnsi="Verdana"/>
          <w:sz w:val="20"/>
        </w:rPr>
      </w:pPr>
    </w:p>
    <w:p w:rsidR="008D200C" w:rsidRDefault="00A60444" w:rsidP="008D200C">
      <w:pPr>
        <w:autoSpaceDE w:val="0"/>
        <w:autoSpaceDN w:val="0"/>
        <w:adjustRightInd w:val="0"/>
        <w:rPr>
          <w:rFonts w:ascii="Verdana" w:hAnsi="Verdana"/>
          <w:b/>
          <w:sz w:val="20"/>
        </w:rPr>
      </w:pPr>
      <w:r>
        <w:rPr>
          <w:rFonts w:ascii="Verdana" w:hAnsi="Verdana"/>
          <w:b/>
          <w:sz w:val="20"/>
        </w:rPr>
        <w:t xml:space="preserve">External-Beam Radiotherapy </w:t>
      </w:r>
    </w:p>
    <w:p w:rsidR="008D200C" w:rsidRDefault="008D200C" w:rsidP="008D200C">
      <w:pPr>
        <w:autoSpaceDE w:val="0"/>
        <w:autoSpaceDN w:val="0"/>
        <w:adjustRightInd w:val="0"/>
        <w:rPr>
          <w:rFonts w:ascii="Verdana" w:hAnsi="Verdana"/>
          <w:sz w:val="20"/>
        </w:rPr>
      </w:pPr>
    </w:p>
    <w:p w:rsidR="008D200C" w:rsidRPr="00C9282E" w:rsidRDefault="005D49B1" w:rsidP="008D200C">
      <w:pPr>
        <w:autoSpaceDE w:val="0"/>
        <w:autoSpaceDN w:val="0"/>
        <w:adjustRightInd w:val="0"/>
        <w:rPr>
          <w:rFonts w:ascii="Verdana" w:hAnsi="Verdana"/>
          <w:sz w:val="20"/>
        </w:rPr>
      </w:pPr>
      <w:r w:rsidRPr="00C9282E">
        <w:rPr>
          <w:rFonts w:ascii="Verdana" w:hAnsi="Verdana"/>
          <w:sz w:val="20"/>
        </w:rPr>
        <w:t xml:space="preserve">In this setting, EBRT is mainly used for palliation and for slowing progression of disease to provide optimal quality of life </w:t>
      </w:r>
      <w:r w:rsidR="00AB1E86" w:rsidRPr="00C9282E">
        <w:rPr>
          <w:rFonts w:ascii="Verdana" w:hAnsi="Verdana"/>
          <w:sz w:val="20"/>
        </w:rPr>
        <w:t>for as long</w:t>
      </w:r>
      <w:r w:rsidRPr="00C9282E">
        <w:rPr>
          <w:rFonts w:ascii="Verdana" w:hAnsi="Verdana"/>
          <w:sz w:val="20"/>
        </w:rPr>
        <w:t xml:space="preserve"> as possible. It does not provide </w:t>
      </w:r>
      <w:r w:rsidR="00F033C6" w:rsidRPr="00C9282E">
        <w:rPr>
          <w:rFonts w:ascii="Verdana" w:hAnsi="Verdana"/>
          <w:sz w:val="20"/>
        </w:rPr>
        <w:t xml:space="preserve">overall </w:t>
      </w:r>
      <w:r w:rsidRPr="00C9282E">
        <w:rPr>
          <w:rFonts w:ascii="Verdana" w:hAnsi="Verdana"/>
          <w:sz w:val="20"/>
        </w:rPr>
        <w:t xml:space="preserve">survival or progression free survival benefit. </w:t>
      </w:r>
    </w:p>
    <w:p w:rsidR="005D49B1" w:rsidRPr="00C9282E" w:rsidRDefault="005D49B1" w:rsidP="008D200C">
      <w:pPr>
        <w:autoSpaceDE w:val="0"/>
        <w:autoSpaceDN w:val="0"/>
        <w:adjustRightInd w:val="0"/>
        <w:rPr>
          <w:rFonts w:ascii="Verdana" w:hAnsi="Verdana"/>
          <w:sz w:val="20"/>
        </w:rPr>
      </w:pPr>
    </w:p>
    <w:p w:rsidR="005D49B1" w:rsidRPr="00C9282E" w:rsidRDefault="005D49B1" w:rsidP="008D200C">
      <w:pPr>
        <w:autoSpaceDE w:val="0"/>
        <w:autoSpaceDN w:val="0"/>
        <w:adjustRightInd w:val="0"/>
        <w:rPr>
          <w:rFonts w:ascii="Verdana" w:hAnsi="Verdana"/>
          <w:sz w:val="20"/>
        </w:rPr>
      </w:pPr>
      <w:r w:rsidRPr="00C9282E">
        <w:rPr>
          <w:rFonts w:ascii="Verdana" w:hAnsi="Verdana"/>
          <w:sz w:val="20"/>
        </w:rPr>
        <w:lastRenderedPageBreak/>
        <w:t xml:space="preserve">Treatment is highly individualized. In </w:t>
      </w:r>
      <w:r w:rsidR="00F033C6" w:rsidRPr="00C9282E">
        <w:rPr>
          <w:rFonts w:ascii="Verdana" w:hAnsi="Verdana"/>
          <w:sz w:val="20"/>
        </w:rPr>
        <w:t>the</w:t>
      </w:r>
      <w:r w:rsidR="00AB1E86" w:rsidRPr="00C9282E">
        <w:rPr>
          <w:rFonts w:ascii="Verdana" w:hAnsi="Verdana"/>
          <w:sz w:val="20"/>
        </w:rPr>
        <w:t xml:space="preserve"> setting where</w:t>
      </w:r>
      <w:r w:rsidRPr="00C9282E">
        <w:rPr>
          <w:rFonts w:ascii="Verdana" w:hAnsi="Verdana"/>
          <w:sz w:val="20"/>
        </w:rPr>
        <w:t xml:space="preserve"> no metastasis </w:t>
      </w:r>
      <w:r w:rsidR="00AB1E86" w:rsidRPr="00C9282E">
        <w:rPr>
          <w:rFonts w:ascii="Verdana" w:hAnsi="Verdana"/>
          <w:sz w:val="20"/>
        </w:rPr>
        <w:t xml:space="preserve">are detected, disease is localized and resectable without significant morbidity and </w:t>
      </w:r>
      <w:r w:rsidRPr="00C9282E">
        <w:rPr>
          <w:rFonts w:ascii="Verdana" w:hAnsi="Verdana"/>
          <w:sz w:val="20"/>
        </w:rPr>
        <w:t xml:space="preserve">in a fit and well patient, </w:t>
      </w:r>
      <w:r w:rsidR="00AB1E86" w:rsidRPr="00C9282E">
        <w:rPr>
          <w:rFonts w:ascii="Verdana" w:hAnsi="Verdana"/>
          <w:sz w:val="20"/>
        </w:rPr>
        <w:t xml:space="preserve">the </w:t>
      </w:r>
      <w:r w:rsidRPr="00C9282E">
        <w:rPr>
          <w:rFonts w:ascii="Verdana" w:hAnsi="Verdana"/>
          <w:sz w:val="20"/>
        </w:rPr>
        <w:t xml:space="preserve">argument can be made for radical resection followed by adjuvant radiotherapy. But adjuvant radiotherapy </w:t>
      </w:r>
      <w:r w:rsidR="00AB1E86" w:rsidRPr="00C9282E">
        <w:rPr>
          <w:rFonts w:ascii="Verdana" w:hAnsi="Verdana"/>
          <w:sz w:val="20"/>
        </w:rPr>
        <w:t xml:space="preserve">alone </w:t>
      </w:r>
      <w:r w:rsidRPr="00C9282E">
        <w:rPr>
          <w:rFonts w:ascii="Verdana" w:hAnsi="Verdana"/>
          <w:sz w:val="20"/>
        </w:rPr>
        <w:t xml:space="preserve">carries high risk of local recurrence. Also, no clear survival benefit seen with this approach. There have been case reports of adding chemotherapy (mainly Doxorubicin). But these treatments are very toxic with varied results seen in small case series. </w:t>
      </w:r>
    </w:p>
    <w:p w:rsidR="00F033C6" w:rsidRPr="00C9282E" w:rsidRDefault="00F033C6" w:rsidP="008D200C">
      <w:pPr>
        <w:autoSpaceDE w:val="0"/>
        <w:autoSpaceDN w:val="0"/>
        <w:adjustRightInd w:val="0"/>
        <w:rPr>
          <w:rFonts w:ascii="Verdana" w:hAnsi="Verdana"/>
          <w:sz w:val="20"/>
        </w:rPr>
      </w:pPr>
    </w:p>
    <w:p w:rsidR="00F033C6" w:rsidRPr="00C9282E" w:rsidRDefault="00F033C6" w:rsidP="008D200C">
      <w:pPr>
        <w:autoSpaceDE w:val="0"/>
        <w:autoSpaceDN w:val="0"/>
        <w:adjustRightInd w:val="0"/>
        <w:rPr>
          <w:rFonts w:ascii="Verdana" w:hAnsi="Verdana"/>
          <w:sz w:val="20"/>
        </w:rPr>
      </w:pPr>
      <w:r w:rsidRPr="00C9282E">
        <w:rPr>
          <w:rFonts w:ascii="Verdana" w:hAnsi="Verdana"/>
          <w:sz w:val="20"/>
        </w:rPr>
        <w:t>Palliative doses : as for Differentiated thyroid cancer EBRT</w:t>
      </w:r>
    </w:p>
    <w:p w:rsidR="00F033C6" w:rsidRDefault="00F033C6" w:rsidP="008D200C">
      <w:pPr>
        <w:autoSpaceDE w:val="0"/>
        <w:autoSpaceDN w:val="0"/>
        <w:adjustRightInd w:val="0"/>
        <w:rPr>
          <w:rFonts w:ascii="Verdana" w:hAnsi="Verdana"/>
          <w:color w:val="1F497D" w:themeColor="text2"/>
          <w:sz w:val="20"/>
        </w:rPr>
      </w:pPr>
    </w:p>
    <w:p w:rsidR="00F033C6" w:rsidRPr="005D49B1" w:rsidRDefault="00F033C6" w:rsidP="008D200C">
      <w:pPr>
        <w:autoSpaceDE w:val="0"/>
        <w:autoSpaceDN w:val="0"/>
        <w:adjustRightInd w:val="0"/>
        <w:rPr>
          <w:rFonts w:ascii="Verdana" w:hAnsi="Verdana"/>
          <w:color w:val="1F497D" w:themeColor="text2"/>
          <w:sz w:val="20"/>
        </w:rPr>
      </w:pPr>
    </w:p>
    <w:p w:rsidR="008D200C" w:rsidRDefault="008D200C" w:rsidP="008D200C">
      <w:pPr>
        <w:autoSpaceDE w:val="0"/>
        <w:autoSpaceDN w:val="0"/>
        <w:adjustRightInd w:val="0"/>
        <w:rPr>
          <w:rFonts w:ascii="Verdana" w:hAnsi="Verdana"/>
          <w:color w:val="FF0000"/>
          <w:sz w:val="20"/>
        </w:rPr>
      </w:pPr>
    </w:p>
    <w:p w:rsidR="008D200C" w:rsidRPr="008D200C" w:rsidRDefault="008D200C" w:rsidP="008D200C">
      <w:pPr>
        <w:autoSpaceDE w:val="0"/>
        <w:autoSpaceDN w:val="0"/>
        <w:adjustRightInd w:val="0"/>
        <w:rPr>
          <w:rFonts w:ascii="Verdana" w:hAnsi="Verdana"/>
          <w:color w:val="FF0000"/>
          <w:sz w:val="20"/>
        </w:rPr>
      </w:pPr>
      <w:r>
        <w:rPr>
          <w:rFonts w:ascii="Verdana" w:hAnsi="Verdana"/>
          <w:b/>
          <w:sz w:val="20"/>
        </w:rPr>
        <w:t>S</w:t>
      </w:r>
      <w:r w:rsidR="00A60444">
        <w:rPr>
          <w:rFonts w:ascii="Verdana" w:hAnsi="Verdana"/>
          <w:b/>
          <w:sz w:val="20"/>
        </w:rPr>
        <w:t xml:space="preserve">ystemic Anti-Cancer Therapy </w:t>
      </w:r>
      <w:r>
        <w:rPr>
          <w:rFonts w:ascii="Verdana" w:hAnsi="Verdana"/>
          <w:b/>
          <w:sz w:val="20"/>
        </w:rPr>
        <w:t>(SACT):</w:t>
      </w:r>
    </w:p>
    <w:p w:rsidR="008D200C" w:rsidRDefault="001615C1" w:rsidP="008D200C">
      <w:pPr>
        <w:autoSpaceDE w:val="0"/>
        <w:autoSpaceDN w:val="0"/>
        <w:adjustRightInd w:val="0"/>
        <w:rPr>
          <w:rFonts w:ascii="Verdana" w:hAnsi="Verdana"/>
          <w:sz w:val="20"/>
        </w:rPr>
      </w:pPr>
      <w:r>
        <w:rPr>
          <w:rFonts w:ascii="Verdana" w:hAnsi="Verdana"/>
          <w:sz w:val="20"/>
        </w:rPr>
        <w:t xml:space="preserve">There is insufficient randomized evidence to guide SACT in anaplastic thyroid tumours.  </w:t>
      </w:r>
      <w:r w:rsidR="007163D4">
        <w:rPr>
          <w:rFonts w:ascii="Verdana" w:hAnsi="Verdana"/>
          <w:sz w:val="20"/>
        </w:rPr>
        <w:t xml:space="preserve">Shortlived responses have been reported with </w:t>
      </w:r>
      <w:r w:rsidR="0045287C">
        <w:rPr>
          <w:rFonts w:ascii="Verdana" w:hAnsi="Verdana"/>
          <w:sz w:val="20"/>
        </w:rPr>
        <w:t xml:space="preserve">cisplatin, carboplatin, taxanes and doxorubicin, but no standard regimen has emerged from trials.  </w:t>
      </w:r>
      <w:r>
        <w:rPr>
          <w:rFonts w:ascii="Verdana" w:hAnsi="Verdana"/>
          <w:sz w:val="20"/>
        </w:rPr>
        <w:t xml:space="preserve">If a decision is made to use systemic therapy, it would be appropriate to use similar protocols to those used in other high grade tumours.  </w:t>
      </w:r>
    </w:p>
    <w:p w:rsidR="00896D85" w:rsidRDefault="00896D85" w:rsidP="008D200C">
      <w:pPr>
        <w:autoSpaceDE w:val="0"/>
        <w:autoSpaceDN w:val="0"/>
        <w:adjustRightInd w:val="0"/>
        <w:rPr>
          <w:rFonts w:ascii="Verdana" w:hAnsi="Verdana"/>
          <w:sz w:val="20"/>
        </w:rPr>
      </w:pPr>
    </w:p>
    <w:p w:rsidR="008D200C" w:rsidRDefault="008D200C" w:rsidP="008D200C">
      <w:pPr>
        <w:autoSpaceDE w:val="0"/>
        <w:autoSpaceDN w:val="0"/>
        <w:adjustRightInd w:val="0"/>
        <w:rPr>
          <w:rFonts w:ascii="Verdana" w:hAnsi="Verdana"/>
          <w:sz w:val="20"/>
        </w:rPr>
      </w:pPr>
    </w:p>
    <w:p w:rsidR="0016172F" w:rsidRDefault="00AE7743" w:rsidP="00AE7743">
      <w:pPr>
        <w:autoSpaceDE w:val="0"/>
        <w:autoSpaceDN w:val="0"/>
        <w:adjustRightInd w:val="0"/>
        <w:rPr>
          <w:rFonts w:ascii="Verdana" w:hAnsi="Verdana"/>
          <w:b/>
          <w:bCs/>
          <w:sz w:val="20"/>
        </w:rPr>
      </w:pPr>
      <w:r>
        <w:rPr>
          <w:rFonts w:ascii="Verdana" w:hAnsi="Verdana"/>
          <w:b/>
          <w:bCs/>
          <w:sz w:val="20"/>
        </w:rPr>
        <w:t>F</w:t>
      </w:r>
      <w:r w:rsidR="00A60444">
        <w:rPr>
          <w:rFonts w:ascii="Verdana" w:hAnsi="Verdana"/>
          <w:b/>
          <w:bCs/>
          <w:sz w:val="20"/>
        </w:rPr>
        <w:t>ollow-Up</w:t>
      </w:r>
    </w:p>
    <w:p w:rsidR="001615C1" w:rsidRPr="001615C1" w:rsidRDefault="001615C1" w:rsidP="00AE7743">
      <w:pPr>
        <w:autoSpaceDE w:val="0"/>
        <w:autoSpaceDN w:val="0"/>
        <w:adjustRightInd w:val="0"/>
        <w:rPr>
          <w:rFonts w:ascii="Verdana" w:hAnsi="Verdana"/>
          <w:bCs/>
          <w:sz w:val="20"/>
        </w:rPr>
      </w:pPr>
      <w:r w:rsidRPr="001615C1">
        <w:rPr>
          <w:rFonts w:ascii="Verdana" w:hAnsi="Verdana"/>
          <w:bCs/>
          <w:sz w:val="20"/>
        </w:rPr>
        <w:t>The risk</w:t>
      </w:r>
      <w:r>
        <w:rPr>
          <w:rFonts w:ascii="Verdana" w:hAnsi="Verdana"/>
          <w:bCs/>
          <w:sz w:val="20"/>
        </w:rPr>
        <w:t xml:space="preserve"> of recurrence or progression of these tumours is high so, if patients are considered candidates for further therapies they should have close clinical and radiological follow up.  </w:t>
      </w:r>
      <w:r w:rsidR="00A60444">
        <w:rPr>
          <w:rFonts w:ascii="Verdana" w:hAnsi="Verdana"/>
          <w:bCs/>
          <w:sz w:val="20"/>
        </w:rPr>
        <w:t>This is usually in the thyroid nodule/cancer clinic at the RIE. Patients should be offered the option of being enrolled in the International Anaplastic Thyroid Cancer Tissue Bank and Database (iNATT).</w:t>
      </w:r>
    </w:p>
    <w:p w:rsidR="0016172F" w:rsidRDefault="0016172F" w:rsidP="00AE7743">
      <w:pPr>
        <w:autoSpaceDE w:val="0"/>
        <w:autoSpaceDN w:val="0"/>
        <w:adjustRightInd w:val="0"/>
        <w:rPr>
          <w:rFonts w:ascii="Verdana" w:hAnsi="Verdana"/>
          <w:b/>
          <w:bCs/>
          <w:sz w:val="20"/>
        </w:rPr>
      </w:pPr>
    </w:p>
    <w:p w:rsidR="0016172F" w:rsidRDefault="0016172F" w:rsidP="00AE7743">
      <w:pPr>
        <w:autoSpaceDE w:val="0"/>
        <w:autoSpaceDN w:val="0"/>
        <w:adjustRightInd w:val="0"/>
        <w:rPr>
          <w:rFonts w:ascii="Verdana" w:hAnsi="Verdana"/>
          <w:b/>
          <w:bCs/>
          <w:sz w:val="20"/>
        </w:rPr>
      </w:pPr>
    </w:p>
    <w:p w:rsidR="006D6A2E" w:rsidRPr="0016172F" w:rsidRDefault="006D6A2E" w:rsidP="00AE7743">
      <w:pPr>
        <w:autoSpaceDE w:val="0"/>
        <w:autoSpaceDN w:val="0"/>
        <w:adjustRightInd w:val="0"/>
        <w:rPr>
          <w:rFonts w:ascii="Verdana" w:hAnsi="Verdana"/>
          <w:b/>
          <w:bCs/>
          <w:sz w:val="20"/>
        </w:rPr>
      </w:pPr>
      <w:r>
        <w:rPr>
          <w:rFonts w:ascii="Verdana" w:hAnsi="Verdana"/>
          <w:b/>
          <w:bCs/>
          <w:sz w:val="20"/>
        </w:rPr>
        <w:t>AUTHORS</w:t>
      </w:r>
      <w:r w:rsidR="00AE7743">
        <w:rPr>
          <w:rFonts w:ascii="Verdana" w:hAnsi="Verdana"/>
          <w:bCs/>
          <w:sz w:val="20"/>
        </w:rPr>
        <w:tab/>
      </w:r>
      <w:r w:rsidR="00702585">
        <w:rPr>
          <w:rFonts w:ascii="Verdana" w:hAnsi="Verdana"/>
          <w:bCs/>
          <w:sz w:val="20"/>
        </w:rPr>
        <w:t>Dr.</w:t>
      </w:r>
      <w:r>
        <w:rPr>
          <w:rFonts w:ascii="Verdana" w:hAnsi="Verdana"/>
          <w:bCs/>
          <w:sz w:val="20"/>
        </w:rPr>
        <w:t xml:space="preserve"> Lucy Wall (LW)</w:t>
      </w:r>
    </w:p>
    <w:p w:rsidR="006D6A2E" w:rsidRDefault="006D6A2E" w:rsidP="006D6A2E">
      <w:pPr>
        <w:autoSpaceDE w:val="0"/>
        <w:autoSpaceDN w:val="0"/>
        <w:adjustRightInd w:val="0"/>
        <w:ind w:left="720" w:firstLine="720"/>
        <w:rPr>
          <w:rFonts w:ascii="Verdana" w:hAnsi="Verdana"/>
          <w:bCs/>
          <w:sz w:val="20"/>
        </w:rPr>
      </w:pPr>
      <w:r>
        <w:rPr>
          <w:rFonts w:ascii="Verdana" w:hAnsi="Verdana"/>
          <w:bCs/>
          <w:sz w:val="20"/>
        </w:rPr>
        <w:t>Professor Mark Strachan (MS)</w:t>
      </w:r>
    </w:p>
    <w:p w:rsidR="00AE7743" w:rsidRDefault="00AE7743" w:rsidP="006D6A2E">
      <w:pPr>
        <w:autoSpaceDE w:val="0"/>
        <w:autoSpaceDN w:val="0"/>
        <w:adjustRightInd w:val="0"/>
        <w:ind w:left="720" w:firstLine="720"/>
        <w:rPr>
          <w:rFonts w:ascii="Verdana" w:hAnsi="Verdana"/>
          <w:bCs/>
          <w:sz w:val="20"/>
        </w:rPr>
      </w:pPr>
      <w:r>
        <w:rPr>
          <w:rFonts w:ascii="Verdana" w:hAnsi="Verdana"/>
          <w:bCs/>
          <w:sz w:val="20"/>
        </w:rPr>
        <w:t>Dr Dev</w:t>
      </w:r>
      <w:r w:rsidR="0089097E">
        <w:rPr>
          <w:rFonts w:ascii="Verdana" w:hAnsi="Verdana"/>
          <w:bCs/>
          <w:sz w:val="20"/>
        </w:rPr>
        <w:t>raj</w:t>
      </w:r>
      <w:r>
        <w:rPr>
          <w:rFonts w:ascii="Verdana" w:hAnsi="Verdana"/>
          <w:bCs/>
          <w:sz w:val="20"/>
        </w:rPr>
        <w:t xml:space="preserve"> Srinivasan (DS)</w:t>
      </w:r>
    </w:p>
    <w:p w:rsidR="00791B29" w:rsidRDefault="00791B29" w:rsidP="006D6A2E">
      <w:pPr>
        <w:autoSpaceDE w:val="0"/>
        <w:autoSpaceDN w:val="0"/>
        <w:adjustRightInd w:val="0"/>
        <w:ind w:left="720" w:firstLine="720"/>
        <w:rPr>
          <w:rFonts w:ascii="Verdana" w:hAnsi="Verdana"/>
          <w:bCs/>
          <w:sz w:val="20"/>
        </w:rPr>
      </w:pPr>
      <w:r>
        <w:rPr>
          <w:rFonts w:ascii="Verdana" w:hAnsi="Verdana"/>
          <w:bCs/>
          <w:sz w:val="20"/>
        </w:rPr>
        <w:t>Mr Iain Nixon (IN)</w:t>
      </w:r>
    </w:p>
    <w:p w:rsidR="0045287C" w:rsidRPr="006D6A2E" w:rsidRDefault="0045287C" w:rsidP="006D6A2E">
      <w:pPr>
        <w:autoSpaceDE w:val="0"/>
        <w:autoSpaceDN w:val="0"/>
        <w:adjustRightInd w:val="0"/>
        <w:ind w:left="720" w:firstLine="720"/>
      </w:pPr>
      <w:r>
        <w:rPr>
          <w:rFonts w:ascii="Verdana" w:hAnsi="Verdana"/>
          <w:bCs/>
          <w:sz w:val="20"/>
        </w:rPr>
        <w:t>Professor Nick Reed</w:t>
      </w:r>
    </w:p>
    <w:p w:rsidR="000C37A1" w:rsidRDefault="000C37A1">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Default="00CC106D">
      <w:pPr>
        <w:rPr>
          <w:rFonts w:ascii="Verdana" w:hAnsi="Verdana"/>
        </w:rPr>
      </w:pPr>
    </w:p>
    <w:p w:rsidR="00CC106D" w:rsidRPr="00F0490B" w:rsidRDefault="00CC106D" w:rsidP="00F0490B">
      <w:pPr>
        <w:rPr>
          <w:rFonts w:ascii="Verdana" w:hAnsi="Verdana"/>
          <w:color w:val="92CDDC"/>
          <w:sz w:val="20"/>
          <w:szCs w:val="20"/>
        </w:rPr>
      </w:pPr>
    </w:p>
    <w:sectPr w:rsidR="00CC106D" w:rsidRPr="00F0490B" w:rsidSect="00565C8F">
      <w:headerReference w:type="default" r:id="rId11"/>
      <w:footerReference w:type="default" r:id="rId12"/>
      <w:pgSz w:w="11906" w:h="16838" w:code="9"/>
      <w:pgMar w:top="1134" w:right="1134" w:bottom="567"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287B43" w15:done="0"/>
  <w15:commentEx w15:paraId="490D8C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51E" w:rsidRDefault="004D151E">
      <w:r>
        <w:separator/>
      </w:r>
    </w:p>
  </w:endnote>
  <w:endnote w:type="continuationSeparator" w:id="0">
    <w:p w:rsidR="004D151E" w:rsidRDefault="004D1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dvTimRomLiebert">
    <w:panose1 w:val="00000000000000000000"/>
    <w:charset w:val="00"/>
    <w:family w:val="roman"/>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vPS94BA">
    <w:altName w:val="Cambria"/>
    <w:panose1 w:val="00000000000000000000"/>
    <w:charset w:val="00"/>
    <w:family w:val="roman"/>
    <w:notTrueType/>
    <w:pitch w:val="default"/>
    <w:sig w:usb0="00000003" w:usb1="00000000" w:usb2="00000000" w:usb3="00000000" w:csb0="00000001" w:csb1="00000000"/>
  </w:font>
  <w:font w:name="AdvPSHN-M">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8" w:type="dxa"/>
      <w:tblInd w:w="8" w:type="dxa"/>
      <w:tblLayout w:type="fixed"/>
      <w:tblCellMar>
        <w:left w:w="0" w:type="dxa"/>
        <w:right w:w="0" w:type="dxa"/>
      </w:tblCellMar>
      <w:tblLook w:val="0000"/>
    </w:tblPr>
    <w:tblGrid>
      <w:gridCol w:w="4048"/>
      <w:gridCol w:w="2362"/>
      <w:gridCol w:w="3508"/>
    </w:tblGrid>
    <w:tr w:rsidR="005D49B1" w:rsidRPr="00D01BF2" w:rsidTr="004253A1">
      <w:trPr>
        <w:trHeight w:val="287"/>
        <w:tblHeader/>
      </w:trPr>
      <w:tc>
        <w:tcPr>
          <w:tcW w:w="4048" w:type="dxa"/>
          <w:tcBorders>
            <w:top w:val="single" w:sz="6" w:space="0" w:color="auto"/>
            <w:left w:val="single" w:sz="6" w:space="0" w:color="auto"/>
            <w:bottom w:val="single" w:sz="6" w:space="0" w:color="auto"/>
          </w:tcBorders>
          <w:shd w:val="pct5" w:color="auto" w:fill="auto"/>
        </w:tcPr>
        <w:p w:rsidR="005D49B1" w:rsidRPr="00D01BF2" w:rsidRDefault="005D49B1" w:rsidP="004253A1">
          <w:pPr>
            <w:pStyle w:val="Footer"/>
            <w:rPr>
              <w:rFonts w:ascii="Verdana" w:hAnsi="Verdana"/>
              <w:sz w:val="18"/>
              <w:szCs w:val="18"/>
            </w:rPr>
          </w:pPr>
          <w:r w:rsidRPr="00D01BF2">
            <w:rPr>
              <w:rFonts w:ascii="Verdana" w:hAnsi="Verdana"/>
              <w:sz w:val="18"/>
              <w:szCs w:val="18"/>
            </w:rPr>
            <w:t xml:space="preserve">Authorised by:  </w:t>
          </w:r>
          <w:r>
            <w:rPr>
              <w:rFonts w:ascii="Verdana" w:hAnsi="Verdana"/>
              <w:sz w:val="18"/>
              <w:szCs w:val="18"/>
            </w:rPr>
            <w:t>CD</w:t>
          </w:r>
        </w:p>
      </w:tc>
      <w:tc>
        <w:tcPr>
          <w:tcW w:w="2362" w:type="dxa"/>
          <w:tcBorders>
            <w:top w:val="single" w:sz="6" w:space="0" w:color="auto"/>
            <w:left w:val="single" w:sz="6" w:space="0" w:color="auto"/>
          </w:tcBorders>
          <w:shd w:val="pct5" w:color="auto" w:fill="auto"/>
        </w:tcPr>
        <w:p w:rsidR="005D49B1" w:rsidRPr="00D01BF2" w:rsidRDefault="005D49B1" w:rsidP="004253A1">
          <w:pPr>
            <w:pStyle w:val="Footer"/>
            <w:rPr>
              <w:rFonts w:ascii="Verdana" w:hAnsi="Verdana"/>
              <w:sz w:val="18"/>
              <w:szCs w:val="18"/>
            </w:rPr>
          </w:pPr>
          <w:r w:rsidRPr="00D01BF2">
            <w:rPr>
              <w:rFonts w:ascii="Verdana" w:hAnsi="Verdana"/>
              <w:sz w:val="18"/>
              <w:szCs w:val="18"/>
            </w:rPr>
            <w:t xml:space="preserve">   Page  No. </w:t>
          </w:r>
          <w:r w:rsidR="00290E40" w:rsidRPr="00D01BF2">
            <w:rPr>
              <w:rStyle w:val="PageNumber"/>
              <w:rFonts w:ascii="Verdana" w:hAnsi="Verdana"/>
              <w:sz w:val="18"/>
              <w:szCs w:val="18"/>
            </w:rPr>
            <w:fldChar w:fldCharType="begin"/>
          </w:r>
          <w:r w:rsidRPr="00D01BF2">
            <w:rPr>
              <w:rStyle w:val="PageNumber"/>
              <w:rFonts w:ascii="Verdana" w:hAnsi="Verdana"/>
              <w:sz w:val="18"/>
              <w:szCs w:val="18"/>
            </w:rPr>
            <w:instrText xml:space="preserve"> PAGE </w:instrText>
          </w:r>
          <w:r w:rsidR="00290E40" w:rsidRPr="00D01BF2">
            <w:rPr>
              <w:rStyle w:val="PageNumber"/>
              <w:rFonts w:ascii="Verdana" w:hAnsi="Verdana"/>
              <w:sz w:val="18"/>
              <w:szCs w:val="18"/>
            </w:rPr>
            <w:fldChar w:fldCharType="separate"/>
          </w:r>
          <w:r w:rsidR="007C2C65">
            <w:rPr>
              <w:rStyle w:val="PageNumber"/>
              <w:rFonts w:ascii="Verdana" w:hAnsi="Verdana"/>
              <w:noProof/>
              <w:sz w:val="18"/>
              <w:szCs w:val="18"/>
            </w:rPr>
            <w:t>1</w:t>
          </w:r>
          <w:r w:rsidR="00290E40" w:rsidRPr="00D01BF2">
            <w:rPr>
              <w:rStyle w:val="PageNumber"/>
              <w:rFonts w:ascii="Verdana" w:hAnsi="Verdana"/>
              <w:sz w:val="18"/>
              <w:szCs w:val="18"/>
            </w:rPr>
            <w:fldChar w:fldCharType="end"/>
          </w:r>
          <w:r w:rsidRPr="00D01BF2">
            <w:rPr>
              <w:rStyle w:val="PageNumber"/>
              <w:rFonts w:ascii="Verdana" w:hAnsi="Verdana"/>
              <w:sz w:val="18"/>
              <w:szCs w:val="18"/>
            </w:rPr>
            <w:t xml:space="preserve">  </w:t>
          </w:r>
          <w:r w:rsidRPr="00D01BF2">
            <w:rPr>
              <w:rFonts w:ascii="Verdana" w:hAnsi="Verdana"/>
              <w:sz w:val="18"/>
              <w:szCs w:val="18"/>
            </w:rPr>
            <w:t xml:space="preserve">of  </w:t>
          </w:r>
          <w:r w:rsidR="00290E40" w:rsidRPr="00D01BF2">
            <w:rPr>
              <w:rStyle w:val="PageNumber"/>
              <w:rFonts w:ascii="Verdana" w:hAnsi="Verdana"/>
              <w:sz w:val="18"/>
              <w:szCs w:val="18"/>
            </w:rPr>
            <w:fldChar w:fldCharType="begin"/>
          </w:r>
          <w:r w:rsidRPr="00D01BF2">
            <w:rPr>
              <w:rStyle w:val="PageNumber"/>
              <w:rFonts w:ascii="Verdana" w:hAnsi="Verdana"/>
              <w:sz w:val="18"/>
              <w:szCs w:val="18"/>
            </w:rPr>
            <w:instrText xml:space="preserve"> NUMPAGES </w:instrText>
          </w:r>
          <w:r w:rsidR="00290E40" w:rsidRPr="00D01BF2">
            <w:rPr>
              <w:rStyle w:val="PageNumber"/>
              <w:rFonts w:ascii="Verdana" w:hAnsi="Verdana"/>
              <w:sz w:val="18"/>
              <w:szCs w:val="18"/>
            </w:rPr>
            <w:fldChar w:fldCharType="separate"/>
          </w:r>
          <w:r w:rsidR="007C2C65">
            <w:rPr>
              <w:rStyle w:val="PageNumber"/>
              <w:rFonts w:ascii="Verdana" w:hAnsi="Verdana"/>
              <w:noProof/>
              <w:sz w:val="18"/>
              <w:szCs w:val="18"/>
            </w:rPr>
            <w:t>17</w:t>
          </w:r>
          <w:r w:rsidR="00290E40" w:rsidRPr="00D01BF2">
            <w:rPr>
              <w:rStyle w:val="PageNumber"/>
              <w:rFonts w:ascii="Verdana" w:hAnsi="Verdana"/>
              <w:sz w:val="18"/>
              <w:szCs w:val="18"/>
            </w:rPr>
            <w:fldChar w:fldCharType="end"/>
          </w:r>
        </w:p>
      </w:tc>
      <w:tc>
        <w:tcPr>
          <w:tcW w:w="3508" w:type="dxa"/>
          <w:tcBorders>
            <w:top w:val="single" w:sz="6" w:space="0" w:color="auto"/>
            <w:left w:val="single" w:sz="6" w:space="0" w:color="auto"/>
            <w:bottom w:val="single" w:sz="6" w:space="0" w:color="auto"/>
            <w:right w:val="single" w:sz="6" w:space="0" w:color="auto"/>
          </w:tcBorders>
          <w:shd w:val="pct5" w:color="auto" w:fill="auto"/>
        </w:tcPr>
        <w:p w:rsidR="005D49B1" w:rsidRPr="00D01BF2" w:rsidRDefault="005D49B1" w:rsidP="006D6A2E">
          <w:pPr>
            <w:pStyle w:val="Footer"/>
            <w:rPr>
              <w:rFonts w:ascii="Verdana" w:hAnsi="Verdana"/>
              <w:sz w:val="18"/>
              <w:szCs w:val="18"/>
            </w:rPr>
          </w:pPr>
          <w:r w:rsidRPr="00D01BF2">
            <w:rPr>
              <w:rFonts w:ascii="Verdana" w:hAnsi="Verdana"/>
              <w:sz w:val="18"/>
              <w:szCs w:val="18"/>
            </w:rPr>
            <w:t xml:space="preserve"> Last Reviewed: </w:t>
          </w:r>
        </w:p>
      </w:tc>
    </w:tr>
    <w:tr w:rsidR="005D49B1" w:rsidRPr="00D01BF2" w:rsidTr="004253A1">
      <w:trPr>
        <w:trHeight w:val="287"/>
      </w:trPr>
      <w:tc>
        <w:tcPr>
          <w:tcW w:w="4048" w:type="dxa"/>
          <w:tcBorders>
            <w:left w:val="single" w:sz="6" w:space="0" w:color="auto"/>
            <w:bottom w:val="single" w:sz="4" w:space="0" w:color="auto"/>
            <w:right w:val="single" w:sz="6" w:space="0" w:color="auto"/>
          </w:tcBorders>
          <w:shd w:val="pct10" w:color="auto" w:fill="auto"/>
        </w:tcPr>
        <w:p w:rsidR="005D49B1" w:rsidRPr="00D01BF2" w:rsidRDefault="005D49B1" w:rsidP="006D6A2E">
          <w:pPr>
            <w:pStyle w:val="Footer"/>
            <w:rPr>
              <w:rFonts w:ascii="Verdana" w:hAnsi="Verdana"/>
              <w:sz w:val="18"/>
              <w:szCs w:val="18"/>
            </w:rPr>
          </w:pPr>
          <w:r w:rsidRPr="00D01BF2">
            <w:rPr>
              <w:rFonts w:ascii="Verdana" w:hAnsi="Verdana"/>
              <w:sz w:val="18"/>
              <w:szCs w:val="18"/>
            </w:rPr>
            <w:t xml:space="preserve">Implementation date: </w:t>
          </w:r>
          <w:r>
            <w:rPr>
              <w:rFonts w:ascii="Verdana" w:hAnsi="Verdana"/>
              <w:sz w:val="18"/>
              <w:szCs w:val="18"/>
            </w:rPr>
            <w:t>2016</w:t>
          </w:r>
        </w:p>
      </w:tc>
      <w:tc>
        <w:tcPr>
          <w:tcW w:w="2362" w:type="dxa"/>
          <w:tcBorders>
            <w:top w:val="single" w:sz="6" w:space="0" w:color="auto"/>
            <w:left w:val="nil"/>
            <w:bottom w:val="single" w:sz="4" w:space="0" w:color="auto"/>
          </w:tcBorders>
          <w:shd w:val="pct10" w:color="auto" w:fill="auto"/>
        </w:tcPr>
        <w:p w:rsidR="005D49B1" w:rsidRPr="00D01BF2" w:rsidRDefault="005D49B1" w:rsidP="006D6A2E">
          <w:pPr>
            <w:pStyle w:val="Footer"/>
            <w:rPr>
              <w:rFonts w:ascii="Verdana" w:hAnsi="Verdana"/>
              <w:sz w:val="18"/>
              <w:szCs w:val="18"/>
            </w:rPr>
          </w:pPr>
          <w:r w:rsidRPr="00D01BF2">
            <w:rPr>
              <w:rFonts w:ascii="Verdana" w:hAnsi="Verdana"/>
              <w:sz w:val="18"/>
              <w:szCs w:val="18"/>
            </w:rPr>
            <w:t xml:space="preserve">   Issue No. :  </w:t>
          </w:r>
        </w:p>
      </w:tc>
      <w:tc>
        <w:tcPr>
          <w:tcW w:w="3508" w:type="dxa"/>
          <w:tcBorders>
            <w:left w:val="single" w:sz="6" w:space="0" w:color="auto"/>
            <w:bottom w:val="single" w:sz="4" w:space="0" w:color="auto"/>
            <w:right w:val="single" w:sz="6" w:space="0" w:color="auto"/>
          </w:tcBorders>
          <w:shd w:val="pct10" w:color="auto" w:fill="auto"/>
        </w:tcPr>
        <w:p w:rsidR="005D49B1" w:rsidRPr="00D01BF2" w:rsidRDefault="005D49B1" w:rsidP="006D6A2E">
          <w:pPr>
            <w:pStyle w:val="Footer"/>
            <w:rPr>
              <w:rFonts w:ascii="Verdana" w:hAnsi="Verdana"/>
              <w:sz w:val="18"/>
              <w:szCs w:val="18"/>
            </w:rPr>
          </w:pPr>
          <w:r>
            <w:rPr>
              <w:rFonts w:ascii="Verdana" w:hAnsi="Verdana"/>
              <w:sz w:val="18"/>
              <w:szCs w:val="18"/>
            </w:rPr>
            <w:t>Next Review Due:</w:t>
          </w:r>
        </w:p>
      </w:tc>
    </w:tr>
  </w:tbl>
  <w:p w:rsidR="005D49B1" w:rsidRPr="00106474" w:rsidRDefault="005D49B1" w:rsidP="00DC1BF6">
    <w:pPr>
      <w:pStyle w:val="Foo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51E" w:rsidRDefault="004D151E">
      <w:r>
        <w:separator/>
      </w:r>
    </w:p>
  </w:footnote>
  <w:footnote w:type="continuationSeparator" w:id="0">
    <w:p w:rsidR="004D151E" w:rsidRDefault="004D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259"/>
      <w:gridCol w:w="2628"/>
      <w:gridCol w:w="1980"/>
      <w:gridCol w:w="3420"/>
    </w:tblGrid>
    <w:tr w:rsidR="005D49B1">
      <w:trPr>
        <w:trHeight w:val="851"/>
      </w:trPr>
      <w:tc>
        <w:tcPr>
          <w:tcW w:w="1259" w:type="dxa"/>
          <w:tcBorders>
            <w:bottom w:val="single" w:sz="24" w:space="0" w:color="auto"/>
          </w:tcBorders>
        </w:tcPr>
        <w:p w:rsidR="005D49B1" w:rsidRPr="00106474" w:rsidRDefault="005D49B1">
          <w:pPr>
            <w:pStyle w:val="Heading3"/>
            <w:rPr>
              <w:rFonts w:ascii="Verdana" w:hAnsi="Verdana"/>
              <w:sz w:val="24"/>
              <w:szCs w:val="24"/>
            </w:rPr>
          </w:pPr>
          <w:r w:rsidRPr="00106474">
            <w:rPr>
              <w:rFonts w:ascii="Verdana" w:hAnsi="Verdana"/>
              <w:sz w:val="24"/>
              <w:szCs w:val="24"/>
            </w:rPr>
            <w:t>Quality</w:t>
          </w:r>
        </w:p>
        <w:p w:rsidR="005D49B1" w:rsidRPr="00106474" w:rsidRDefault="005D49B1">
          <w:pPr>
            <w:rPr>
              <w:rFonts w:ascii="Verdana" w:hAnsi="Verdana"/>
              <w:b/>
            </w:rPr>
          </w:pPr>
          <w:r w:rsidRPr="00106474">
            <w:rPr>
              <w:rFonts w:ascii="Verdana" w:hAnsi="Verdana"/>
              <w:b/>
            </w:rPr>
            <w:t>System</w:t>
          </w:r>
        </w:p>
        <w:p w:rsidR="005D49B1" w:rsidRPr="00106474" w:rsidRDefault="005D49B1">
          <w:pPr>
            <w:rPr>
              <w:rFonts w:ascii="Verdana" w:hAnsi="Verdana"/>
            </w:rPr>
          </w:pPr>
          <w:r w:rsidRPr="00106474">
            <w:rPr>
              <w:rFonts w:ascii="Verdana" w:hAnsi="Verdana"/>
              <w:b/>
            </w:rPr>
            <w:t xml:space="preserve">            </w:t>
          </w:r>
        </w:p>
      </w:tc>
      <w:tc>
        <w:tcPr>
          <w:tcW w:w="8028" w:type="dxa"/>
          <w:gridSpan w:val="3"/>
          <w:tcBorders>
            <w:left w:val="single" w:sz="24" w:space="0" w:color="auto"/>
            <w:bottom w:val="single" w:sz="24" w:space="0" w:color="auto"/>
          </w:tcBorders>
        </w:tcPr>
        <w:p w:rsidR="005D49B1" w:rsidRPr="00D01BF2" w:rsidRDefault="005D49B1">
          <w:pPr>
            <w:pStyle w:val="Heading1"/>
            <w:rPr>
              <w:rFonts w:ascii="Verdana" w:hAnsi="Verdana"/>
              <w:i w:val="0"/>
              <w:szCs w:val="32"/>
            </w:rPr>
          </w:pPr>
          <w:r w:rsidRPr="00D01BF2">
            <w:rPr>
              <w:rFonts w:ascii="Verdana" w:hAnsi="Verdana"/>
              <w:i w:val="0"/>
              <w:szCs w:val="32"/>
            </w:rPr>
            <w:t>Edinburgh Cancer Centre</w:t>
          </w:r>
          <w:r>
            <w:rPr>
              <w:rFonts w:ascii="Verdana" w:hAnsi="Verdana"/>
              <w:i w:val="0"/>
              <w:szCs w:val="32"/>
            </w:rPr>
            <w:t xml:space="preserve"> and Edinburgh Centre for Endocrinology</w:t>
          </w:r>
        </w:p>
        <w:p w:rsidR="005D49B1" w:rsidRPr="00106474" w:rsidRDefault="005D49B1">
          <w:pPr>
            <w:jc w:val="center"/>
            <w:rPr>
              <w:rFonts w:ascii="Verdana" w:hAnsi="Verdana"/>
            </w:rPr>
          </w:pPr>
        </w:p>
        <w:p w:rsidR="005D49B1" w:rsidRPr="00106474" w:rsidRDefault="005D49B1">
          <w:pPr>
            <w:jc w:val="center"/>
            <w:rPr>
              <w:rFonts w:ascii="Verdana" w:hAnsi="Verdana"/>
            </w:rPr>
          </w:pPr>
        </w:p>
      </w:tc>
    </w:tr>
    <w:tr w:rsidR="005D49B1" w:rsidRPr="00D01BF2">
      <w:tc>
        <w:tcPr>
          <w:tcW w:w="3887" w:type="dxa"/>
          <w:gridSpan w:val="2"/>
          <w:tcBorders>
            <w:top w:val="single" w:sz="6" w:space="0" w:color="auto"/>
            <w:left w:val="single" w:sz="6" w:space="0" w:color="auto"/>
            <w:bottom w:val="single" w:sz="6" w:space="0" w:color="auto"/>
            <w:right w:val="single" w:sz="6" w:space="0" w:color="auto"/>
          </w:tcBorders>
          <w:shd w:val="pct10" w:color="auto" w:fill="auto"/>
        </w:tcPr>
        <w:p w:rsidR="005D49B1" w:rsidRPr="00D01BF2" w:rsidRDefault="005D49B1">
          <w:pPr>
            <w:rPr>
              <w:rFonts w:ascii="Verdana" w:hAnsi="Verdana"/>
              <w:sz w:val="18"/>
              <w:szCs w:val="18"/>
            </w:rPr>
          </w:pPr>
          <w:r w:rsidRPr="00D01BF2">
            <w:rPr>
              <w:rFonts w:ascii="Verdana" w:hAnsi="Verdana"/>
              <w:sz w:val="18"/>
              <w:szCs w:val="18"/>
            </w:rPr>
            <w:t>Quality Mgmt. Proc. Manual</w:t>
          </w:r>
        </w:p>
      </w:tc>
      <w:tc>
        <w:tcPr>
          <w:tcW w:w="1980" w:type="dxa"/>
          <w:tcBorders>
            <w:top w:val="single" w:sz="6" w:space="0" w:color="auto"/>
            <w:left w:val="nil"/>
            <w:bottom w:val="single" w:sz="6" w:space="0" w:color="auto"/>
          </w:tcBorders>
          <w:shd w:val="pct20" w:color="auto" w:fill="auto"/>
        </w:tcPr>
        <w:p w:rsidR="005D49B1" w:rsidRPr="00D01BF2" w:rsidRDefault="005D49B1">
          <w:pPr>
            <w:jc w:val="center"/>
            <w:rPr>
              <w:rFonts w:ascii="Verdana" w:hAnsi="Verdana"/>
              <w:sz w:val="18"/>
              <w:szCs w:val="18"/>
            </w:rPr>
          </w:pPr>
        </w:p>
      </w:tc>
      <w:tc>
        <w:tcPr>
          <w:tcW w:w="3420" w:type="dxa"/>
          <w:tcBorders>
            <w:top w:val="single" w:sz="6" w:space="0" w:color="auto"/>
            <w:left w:val="single" w:sz="6" w:space="0" w:color="auto"/>
            <w:bottom w:val="single" w:sz="6" w:space="0" w:color="auto"/>
            <w:right w:val="single" w:sz="6" w:space="0" w:color="auto"/>
          </w:tcBorders>
          <w:shd w:val="pct10" w:color="auto" w:fill="auto"/>
        </w:tcPr>
        <w:p w:rsidR="005D49B1" w:rsidRPr="00D01BF2" w:rsidRDefault="005D49B1" w:rsidP="006D6A2E">
          <w:pPr>
            <w:rPr>
              <w:rFonts w:ascii="Verdana" w:hAnsi="Verdana"/>
              <w:sz w:val="18"/>
              <w:szCs w:val="18"/>
            </w:rPr>
          </w:pPr>
          <w:r w:rsidRPr="00D01BF2">
            <w:rPr>
              <w:rFonts w:ascii="Verdana" w:hAnsi="Verdana"/>
              <w:b/>
              <w:sz w:val="18"/>
              <w:szCs w:val="18"/>
            </w:rPr>
            <w:t>EP2\ECC\</w:t>
          </w:r>
        </w:p>
      </w:tc>
    </w:tr>
  </w:tbl>
  <w:p w:rsidR="005D49B1" w:rsidRPr="00D01BF2" w:rsidRDefault="005D49B1">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7A9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CF6ACA0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177183"/>
    <w:multiLevelType w:val="hybridMultilevel"/>
    <w:tmpl w:val="E1FC1F7E"/>
    <w:lvl w:ilvl="0" w:tplc="3D7E887C">
      <w:start w:val="1"/>
      <w:numFmt w:val="decimal"/>
      <w:pStyle w:val="Style2"/>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212C75"/>
    <w:multiLevelType w:val="hybridMultilevel"/>
    <w:tmpl w:val="922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02FAE"/>
    <w:multiLevelType w:val="multilevel"/>
    <w:tmpl w:val="BA0E20CA"/>
    <w:lvl w:ilvl="0">
      <w:start w:val="2"/>
      <w:numFmt w:val="decimal"/>
      <w:pStyle w:val="Style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E5B713E"/>
    <w:multiLevelType w:val="multilevel"/>
    <w:tmpl w:val="27507EF8"/>
    <w:lvl w:ilvl="0">
      <w:start w:val="1"/>
      <w:numFmt w:val="decimal"/>
      <w:lvlText w:val="%1."/>
      <w:lvlJc w:val="left"/>
      <w:pPr>
        <w:ind w:left="360" w:hanging="360"/>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7E11DCF"/>
    <w:multiLevelType w:val="hybridMultilevel"/>
    <w:tmpl w:val="99F0371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00B33"/>
    <w:multiLevelType w:val="hybridMultilevel"/>
    <w:tmpl w:val="BB7AE85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A79A5"/>
    <w:multiLevelType w:val="hybridMultilevel"/>
    <w:tmpl w:val="142C1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0F69C0"/>
    <w:multiLevelType w:val="hybridMultilevel"/>
    <w:tmpl w:val="F52A116E"/>
    <w:lvl w:ilvl="0" w:tplc="B2A04BAA">
      <w:start w:val="1"/>
      <w:numFmt w:val="decimal"/>
      <w:pStyle w:val="Style1"/>
      <w:lvlText w:val="%1."/>
      <w:lvlJc w:val="left"/>
      <w:pPr>
        <w:tabs>
          <w:tab w:val="num" w:pos="1004"/>
        </w:tabs>
        <w:ind w:left="1004" w:hanging="72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945746"/>
    <w:multiLevelType w:val="hybridMultilevel"/>
    <w:tmpl w:val="BA3C1E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50F16A1"/>
    <w:multiLevelType w:val="hybridMultilevel"/>
    <w:tmpl w:val="A2D2C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57116D"/>
    <w:multiLevelType w:val="multilevel"/>
    <w:tmpl w:val="DEF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E0F34"/>
    <w:multiLevelType w:val="hybridMultilevel"/>
    <w:tmpl w:val="57722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2A564B"/>
    <w:multiLevelType w:val="hybridMultilevel"/>
    <w:tmpl w:val="8C5E8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91059B"/>
    <w:multiLevelType w:val="hybridMultilevel"/>
    <w:tmpl w:val="566CC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A50046"/>
    <w:multiLevelType w:val="hybridMultilevel"/>
    <w:tmpl w:val="96862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621F27"/>
    <w:multiLevelType w:val="hybridMultilevel"/>
    <w:tmpl w:val="A7A29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F11C15"/>
    <w:multiLevelType w:val="hybridMultilevel"/>
    <w:tmpl w:val="270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10437"/>
    <w:multiLevelType w:val="hybridMultilevel"/>
    <w:tmpl w:val="8E7A8508"/>
    <w:lvl w:ilvl="0" w:tplc="117036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47DA5"/>
    <w:multiLevelType w:val="hybridMultilevel"/>
    <w:tmpl w:val="F5A2EB8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3"/>
  </w:num>
  <w:num w:numId="6">
    <w:abstractNumId w:val="14"/>
  </w:num>
  <w:num w:numId="7">
    <w:abstractNumId w:val="17"/>
  </w:num>
  <w:num w:numId="8">
    <w:abstractNumId w:val="15"/>
  </w:num>
  <w:num w:numId="9">
    <w:abstractNumId w:val="19"/>
  </w:num>
  <w:num w:numId="10">
    <w:abstractNumId w:val="5"/>
  </w:num>
  <w:num w:numId="11">
    <w:abstractNumId w:val="20"/>
  </w:num>
  <w:num w:numId="12">
    <w:abstractNumId w:val="1"/>
  </w:num>
  <w:num w:numId="13">
    <w:abstractNumId w:val="2"/>
  </w:num>
  <w:num w:numId="14">
    <w:abstractNumId w:val="3"/>
  </w:num>
  <w:num w:numId="15">
    <w:abstractNumId w:val="9"/>
  </w:num>
  <w:num w:numId="16">
    <w:abstractNumId w:val="8"/>
  </w:num>
  <w:num w:numId="17">
    <w:abstractNumId w:val="21"/>
  </w:num>
  <w:num w:numId="18">
    <w:abstractNumId w:val="0"/>
  </w:num>
  <w:num w:numId="19">
    <w:abstractNumId w:val="18"/>
  </w:num>
  <w:num w:numId="20">
    <w:abstractNumId w:val="10"/>
  </w:num>
  <w:num w:numId="21">
    <w:abstractNumId w:val="22"/>
  </w:num>
  <w:num w:numId="22">
    <w:abstractNumId w:val="12"/>
  </w:num>
  <w:num w:numId="23">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w15:presenceInfo w15:providerId="None" w15:userId="s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docVars>
    <w:docVar w:name="dgnword-docGUID" w:val="{77828D97-5F0C-4E9D-88D0-4FBC324091B3}"/>
    <w:docVar w:name="dgnword-eventsink" w:val="34823352"/>
  </w:docVars>
  <w:rsids>
    <w:rsidRoot w:val="00D80C86"/>
    <w:rsid w:val="000414F8"/>
    <w:rsid w:val="0004740B"/>
    <w:rsid w:val="00053C3A"/>
    <w:rsid w:val="00064286"/>
    <w:rsid w:val="0006548F"/>
    <w:rsid w:val="00070277"/>
    <w:rsid w:val="000707B0"/>
    <w:rsid w:val="0007647A"/>
    <w:rsid w:val="0008476A"/>
    <w:rsid w:val="00093CA7"/>
    <w:rsid w:val="000A50F0"/>
    <w:rsid w:val="000B0CBD"/>
    <w:rsid w:val="000B5F5A"/>
    <w:rsid w:val="000C37A1"/>
    <w:rsid w:val="000C5325"/>
    <w:rsid w:val="000D7AA7"/>
    <w:rsid w:val="000E19C1"/>
    <w:rsid w:val="000E26D7"/>
    <w:rsid w:val="000E6829"/>
    <w:rsid w:val="000F3B59"/>
    <w:rsid w:val="00100205"/>
    <w:rsid w:val="001051CA"/>
    <w:rsid w:val="00106474"/>
    <w:rsid w:val="00123A1A"/>
    <w:rsid w:val="00133807"/>
    <w:rsid w:val="00141BA1"/>
    <w:rsid w:val="0014777B"/>
    <w:rsid w:val="001576F0"/>
    <w:rsid w:val="001606DA"/>
    <w:rsid w:val="001615C1"/>
    <w:rsid w:val="0016172F"/>
    <w:rsid w:val="00167A83"/>
    <w:rsid w:val="00187A4E"/>
    <w:rsid w:val="001C263E"/>
    <w:rsid w:val="001C71E5"/>
    <w:rsid w:val="001D4876"/>
    <w:rsid w:val="001D4C62"/>
    <w:rsid w:val="001E2433"/>
    <w:rsid w:val="001F7298"/>
    <w:rsid w:val="002070B8"/>
    <w:rsid w:val="00245193"/>
    <w:rsid w:val="0024756F"/>
    <w:rsid w:val="002516B1"/>
    <w:rsid w:val="00260809"/>
    <w:rsid w:val="002664A0"/>
    <w:rsid w:val="00270043"/>
    <w:rsid w:val="00272F84"/>
    <w:rsid w:val="00276ED7"/>
    <w:rsid w:val="00290E40"/>
    <w:rsid w:val="00297812"/>
    <w:rsid w:val="002A1A1B"/>
    <w:rsid w:val="002C0BE7"/>
    <w:rsid w:val="002C15A9"/>
    <w:rsid w:val="002C7707"/>
    <w:rsid w:val="002E12FA"/>
    <w:rsid w:val="002E4E62"/>
    <w:rsid w:val="002E5B85"/>
    <w:rsid w:val="002E6133"/>
    <w:rsid w:val="00317DE1"/>
    <w:rsid w:val="00323D6C"/>
    <w:rsid w:val="00326282"/>
    <w:rsid w:val="0032756B"/>
    <w:rsid w:val="00333C3F"/>
    <w:rsid w:val="00343B0A"/>
    <w:rsid w:val="00343D4B"/>
    <w:rsid w:val="00345A23"/>
    <w:rsid w:val="0034682E"/>
    <w:rsid w:val="003520A9"/>
    <w:rsid w:val="00352FAE"/>
    <w:rsid w:val="00362637"/>
    <w:rsid w:val="003736E5"/>
    <w:rsid w:val="0038337B"/>
    <w:rsid w:val="003947DF"/>
    <w:rsid w:val="00394EB2"/>
    <w:rsid w:val="00395CF9"/>
    <w:rsid w:val="00397C02"/>
    <w:rsid w:val="003A1064"/>
    <w:rsid w:val="003A19D8"/>
    <w:rsid w:val="003F39CC"/>
    <w:rsid w:val="003F61DF"/>
    <w:rsid w:val="00423B4D"/>
    <w:rsid w:val="004253A1"/>
    <w:rsid w:val="00427B03"/>
    <w:rsid w:val="0044232E"/>
    <w:rsid w:val="0045287C"/>
    <w:rsid w:val="00455E8B"/>
    <w:rsid w:val="004607CF"/>
    <w:rsid w:val="00463E6E"/>
    <w:rsid w:val="00477A0A"/>
    <w:rsid w:val="00480B4B"/>
    <w:rsid w:val="004A33C4"/>
    <w:rsid w:val="004A4B51"/>
    <w:rsid w:val="004C595A"/>
    <w:rsid w:val="004D151E"/>
    <w:rsid w:val="004E6622"/>
    <w:rsid w:val="004F0FD3"/>
    <w:rsid w:val="004F6769"/>
    <w:rsid w:val="005029AC"/>
    <w:rsid w:val="005137F5"/>
    <w:rsid w:val="00516A08"/>
    <w:rsid w:val="0054744F"/>
    <w:rsid w:val="00551827"/>
    <w:rsid w:val="005545BB"/>
    <w:rsid w:val="00565C8F"/>
    <w:rsid w:val="0057026F"/>
    <w:rsid w:val="00571A5F"/>
    <w:rsid w:val="0057213E"/>
    <w:rsid w:val="00577B53"/>
    <w:rsid w:val="00580B70"/>
    <w:rsid w:val="005861F6"/>
    <w:rsid w:val="00593B2E"/>
    <w:rsid w:val="005A11F0"/>
    <w:rsid w:val="005C0517"/>
    <w:rsid w:val="005C6318"/>
    <w:rsid w:val="005D49B1"/>
    <w:rsid w:val="005E770C"/>
    <w:rsid w:val="005F1AD0"/>
    <w:rsid w:val="00604AC6"/>
    <w:rsid w:val="00625539"/>
    <w:rsid w:val="006650CD"/>
    <w:rsid w:val="006751C7"/>
    <w:rsid w:val="00690E04"/>
    <w:rsid w:val="00691854"/>
    <w:rsid w:val="0069282D"/>
    <w:rsid w:val="006A388E"/>
    <w:rsid w:val="006A7648"/>
    <w:rsid w:val="006B78B2"/>
    <w:rsid w:val="006C2F96"/>
    <w:rsid w:val="006C6D5E"/>
    <w:rsid w:val="006D6A2E"/>
    <w:rsid w:val="00702585"/>
    <w:rsid w:val="007163D4"/>
    <w:rsid w:val="007202AE"/>
    <w:rsid w:val="00727F7B"/>
    <w:rsid w:val="00777EB9"/>
    <w:rsid w:val="00783A0A"/>
    <w:rsid w:val="00791B29"/>
    <w:rsid w:val="007A1E9D"/>
    <w:rsid w:val="007A2CA8"/>
    <w:rsid w:val="007B22D2"/>
    <w:rsid w:val="007C2C65"/>
    <w:rsid w:val="007E3064"/>
    <w:rsid w:val="007F0AF1"/>
    <w:rsid w:val="008120C2"/>
    <w:rsid w:val="00812C08"/>
    <w:rsid w:val="00814A7D"/>
    <w:rsid w:val="0083572C"/>
    <w:rsid w:val="00844554"/>
    <w:rsid w:val="0084625E"/>
    <w:rsid w:val="008572C4"/>
    <w:rsid w:val="00860BFB"/>
    <w:rsid w:val="008650CB"/>
    <w:rsid w:val="008650E5"/>
    <w:rsid w:val="00870DB1"/>
    <w:rsid w:val="00881B59"/>
    <w:rsid w:val="00882D4A"/>
    <w:rsid w:val="0089097E"/>
    <w:rsid w:val="00896D85"/>
    <w:rsid w:val="008B65E0"/>
    <w:rsid w:val="008B6E6E"/>
    <w:rsid w:val="008C38B8"/>
    <w:rsid w:val="008D200C"/>
    <w:rsid w:val="008D74E1"/>
    <w:rsid w:val="008F178B"/>
    <w:rsid w:val="0090308C"/>
    <w:rsid w:val="009046E0"/>
    <w:rsid w:val="0092155D"/>
    <w:rsid w:val="009273B8"/>
    <w:rsid w:val="00933BA6"/>
    <w:rsid w:val="00937C95"/>
    <w:rsid w:val="00946D29"/>
    <w:rsid w:val="00951770"/>
    <w:rsid w:val="00952C8B"/>
    <w:rsid w:val="00956BE3"/>
    <w:rsid w:val="00964D4E"/>
    <w:rsid w:val="00970346"/>
    <w:rsid w:val="00980415"/>
    <w:rsid w:val="00984B35"/>
    <w:rsid w:val="00985F3D"/>
    <w:rsid w:val="009A0473"/>
    <w:rsid w:val="009B7ACF"/>
    <w:rsid w:val="009D210E"/>
    <w:rsid w:val="009E43BA"/>
    <w:rsid w:val="009E4635"/>
    <w:rsid w:val="009F0567"/>
    <w:rsid w:val="00A04F60"/>
    <w:rsid w:val="00A16EFD"/>
    <w:rsid w:val="00A24AB1"/>
    <w:rsid w:val="00A567CF"/>
    <w:rsid w:val="00A60444"/>
    <w:rsid w:val="00A70575"/>
    <w:rsid w:val="00A81359"/>
    <w:rsid w:val="00A92519"/>
    <w:rsid w:val="00AA7D11"/>
    <w:rsid w:val="00AB1E86"/>
    <w:rsid w:val="00AB2E31"/>
    <w:rsid w:val="00AD1519"/>
    <w:rsid w:val="00AE7743"/>
    <w:rsid w:val="00AF2527"/>
    <w:rsid w:val="00B63BD0"/>
    <w:rsid w:val="00B80F2B"/>
    <w:rsid w:val="00B821F3"/>
    <w:rsid w:val="00B90759"/>
    <w:rsid w:val="00B9307A"/>
    <w:rsid w:val="00B9571F"/>
    <w:rsid w:val="00BC1322"/>
    <w:rsid w:val="00BD46A0"/>
    <w:rsid w:val="00BE1FED"/>
    <w:rsid w:val="00C0249F"/>
    <w:rsid w:val="00C0776C"/>
    <w:rsid w:val="00C22A10"/>
    <w:rsid w:val="00C353AD"/>
    <w:rsid w:val="00C42804"/>
    <w:rsid w:val="00C524BF"/>
    <w:rsid w:val="00C61230"/>
    <w:rsid w:val="00C628EE"/>
    <w:rsid w:val="00C65A7D"/>
    <w:rsid w:val="00C75D0C"/>
    <w:rsid w:val="00C83ACE"/>
    <w:rsid w:val="00C86E03"/>
    <w:rsid w:val="00C9282E"/>
    <w:rsid w:val="00CA7046"/>
    <w:rsid w:val="00CB2977"/>
    <w:rsid w:val="00CB2E28"/>
    <w:rsid w:val="00CB3C5E"/>
    <w:rsid w:val="00CC0C90"/>
    <w:rsid w:val="00CC106D"/>
    <w:rsid w:val="00CC36E8"/>
    <w:rsid w:val="00CC6015"/>
    <w:rsid w:val="00CC78CC"/>
    <w:rsid w:val="00CE01F7"/>
    <w:rsid w:val="00CE3BDE"/>
    <w:rsid w:val="00CE44D5"/>
    <w:rsid w:val="00CF6332"/>
    <w:rsid w:val="00D01BF2"/>
    <w:rsid w:val="00D1138E"/>
    <w:rsid w:val="00D2070F"/>
    <w:rsid w:val="00D42792"/>
    <w:rsid w:val="00D44FAC"/>
    <w:rsid w:val="00D70159"/>
    <w:rsid w:val="00D80C86"/>
    <w:rsid w:val="00DA48C5"/>
    <w:rsid w:val="00DB2FB5"/>
    <w:rsid w:val="00DB3935"/>
    <w:rsid w:val="00DB3B1C"/>
    <w:rsid w:val="00DB4694"/>
    <w:rsid w:val="00DC010D"/>
    <w:rsid w:val="00DC1BF6"/>
    <w:rsid w:val="00DE0009"/>
    <w:rsid w:val="00E05E76"/>
    <w:rsid w:val="00E305F9"/>
    <w:rsid w:val="00E31D2A"/>
    <w:rsid w:val="00E407AD"/>
    <w:rsid w:val="00E46318"/>
    <w:rsid w:val="00E829C6"/>
    <w:rsid w:val="00E86980"/>
    <w:rsid w:val="00E919AA"/>
    <w:rsid w:val="00EB3770"/>
    <w:rsid w:val="00EB5E32"/>
    <w:rsid w:val="00EC1A71"/>
    <w:rsid w:val="00EE1A45"/>
    <w:rsid w:val="00EE2473"/>
    <w:rsid w:val="00EE4202"/>
    <w:rsid w:val="00EF22F9"/>
    <w:rsid w:val="00EF5A4D"/>
    <w:rsid w:val="00F033C6"/>
    <w:rsid w:val="00F0490B"/>
    <w:rsid w:val="00F06DE4"/>
    <w:rsid w:val="00F07C00"/>
    <w:rsid w:val="00F21DC0"/>
    <w:rsid w:val="00F32BA1"/>
    <w:rsid w:val="00F42F5F"/>
    <w:rsid w:val="00F51260"/>
    <w:rsid w:val="00F56090"/>
    <w:rsid w:val="00F624E4"/>
    <w:rsid w:val="00F670CB"/>
    <w:rsid w:val="00F75E5B"/>
    <w:rsid w:val="00F85CD0"/>
    <w:rsid w:val="00FA6235"/>
    <w:rsid w:val="00FB2EEA"/>
    <w:rsid w:val="00FB600C"/>
    <w:rsid w:val="00FC0E0F"/>
    <w:rsid w:val="00FC7CA2"/>
    <w:rsid w:val="00FD3863"/>
    <w:rsid w:val="00FE2B81"/>
    <w:rsid w:val="00FE5E4E"/>
    <w:rsid w:val="00FF1131"/>
    <w:rsid w:val="00FF66B9"/>
    <w:rsid w:val="00FF7F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0C86"/>
    <w:rPr>
      <w:rFonts w:ascii="Garamond" w:hAnsi="Garamond"/>
      <w:sz w:val="24"/>
      <w:szCs w:val="24"/>
      <w:lang w:val="en-US" w:eastAsia="en-US"/>
    </w:rPr>
  </w:style>
  <w:style w:type="paragraph" w:styleId="Heading1">
    <w:name w:val="heading 1"/>
    <w:aliases w:val="Level 1,Heading 11,titre 1,Titol 1,Level 11,Heading 111,titre 11,Titol 11,PHD Heading 1,Level 12,Titre 11"/>
    <w:basedOn w:val="Normal"/>
    <w:next w:val="Normal"/>
    <w:qFormat/>
    <w:rsid w:val="00565C8F"/>
    <w:pPr>
      <w:keepNext/>
      <w:jc w:val="center"/>
      <w:outlineLvl w:val="0"/>
    </w:pPr>
    <w:rPr>
      <w:rFonts w:ascii="Arial" w:hAnsi="Arial"/>
      <w:i/>
      <w:sz w:val="32"/>
      <w:szCs w:val="20"/>
    </w:rPr>
  </w:style>
  <w:style w:type="paragraph" w:styleId="Heading2">
    <w:name w:val="heading 2"/>
    <w:aliases w:val="Titre 21,Heading 21,titre 2,Level 2,Titre 211,Heading 211,titre 21,PHD Heading 2,Titre 212,Titre 212 Char,Titre 212 Char Char"/>
    <w:basedOn w:val="Normal"/>
    <w:next w:val="Normal"/>
    <w:qFormat/>
    <w:rsid w:val="00565C8F"/>
    <w:pPr>
      <w:keepNext/>
      <w:tabs>
        <w:tab w:val="left" w:pos="450"/>
      </w:tabs>
      <w:spacing w:line="240" w:lineRule="exact"/>
      <w:ind w:left="540"/>
      <w:outlineLvl w:val="1"/>
    </w:pPr>
    <w:rPr>
      <w:rFonts w:ascii="Arial" w:hAnsi="Arial"/>
      <w:b/>
      <w:sz w:val="22"/>
      <w:szCs w:val="20"/>
    </w:rPr>
  </w:style>
  <w:style w:type="paragraph" w:styleId="Heading3">
    <w:name w:val="heading 3"/>
    <w:aliases w:val="Titre 31,Heading 31,titre 3,Titre 311,Heading 311,titre 31,PHD Heading 3,Titre 312,Titre 312 Char,Titre 312 Char Char,Titre 312 Char Char Char Char,Titre 312 Char Char Char Char Char"/>
    <w:basedOn w:val="Normal"/>
    <w:next w:val="Normal"/>
    <w:qFormat/>
    <w:rsid w:val="00565C8F"/>
    <w:pPr>
      <w:keepNext/>
      <w:outlineLvl w:val="2"/>
    </w:pPr>
    <w:rPr>
      <w:b/>
      <w:sz w:val="32"/>
      <w:szCs w:val="20"/>
    </w:rPr>
  </w:style>
  <w:style w:type="paragraph" w:styleId="Heading4">
    <w:name w:val="heading 4"/>
    <w:aliases w:val="Heading 41,titre 4,Heading 411,titre 41,PHD Heading 4"/>
    <w:basedOn w:val="Normal"/>
    <w:next w:val="Normal"/>
    <w:qFormat/>
    <w:rsid w:val="00565C8F"/>
    <w:pPr>
      <w:keepNext/>
      <w:tabs>
        <w:tab w:val="left" w:pos="-1350"/>
      </w:tabs>
      <w:spacing w:line="240" w:lineRule="exact"/>
      <w:outlineLvl w:val="3"/>
    </w:pPr>
    <w:rPr>
      <w:rFonts w:ascii="Courier New" w:hAnsi="Courier New"/>
      <w:b/>
      <w:szCs w:val="20"/>
    </w:rPr>
  </w:style>
  <w:style w:type="paragraph" w:styleId="Heading5">
    <w:name w:val="heading 5"/>
    <w:aliases w:val="Heading 51,titre 5,Heading 511,titre 51,PHD Heading 5"/>
    <w:basedOn w:val="Normal"/>
    <w:next w:val="Normal"/>
    <w:qFormat/>
    <w:rsid w:val="00565C8F"/>
    <w:pPr>
      <w:keepNext/>
      <w:tabs>
        <w:tab w:val="left" w:pos="720"/>
      </w:tabs>
      <w:spacing w:line="340" w:lineRule="exact"/>
      <w:jc w:val="center"/>
      <w:outlineLvl w:val="4"/>
    </w:pPr>
    <w:rPr>
      <w:rFonts w:ascii="Arial" w:hAnsi="Arial"/>
      <w:b/>
      <w:sz w:val="30"/>
      <w:szCs w:val="20"/>
    </w:rPr>
  </w:style>
  <w:style w:type="paragraph" w:styleId="Heading6">
    <w:name w:val="heading 6"/>
    <w:aliases w:val="Heading 61,titre 6,PHD Heading 6"/>
    <w:basedOn w:val="Normal"/>
    <w:next w:val="Normal"/>
    <w:qFormat/>
    <w:rsid w:val="00565C8F"/>
    <w:pPr>
      <w:keepNext/>
      <w:tabs>
        <w:tab w:val="left" w:pos="720"/>
      </w:tabs>
      <w:spacing w:line="340" w:lineRule="exact"/>
      <w:ind w:left="720"/>
      <w:jc w:val="center"/>
      <w:outlineLvl w:val="5"/>
    </w:pPr>
    <w:rPr>
      <w:rFonts w:ascii="Arial" w:hAnsi="Arial"/>
      <w:b/>
      <w:sz w:val="30"/>
      <w:szCs w:val="20"/>
    </w:rPr>
  </w:style>
  <w:style w:type="paragraph" w:styleId="Heading7">
    <w:name w:val="heading 7"/>
    <w:aliases w:val="Heading 71,titre 7,PHD Heading 7"/>
    <w:basedOn w:val="Normal"/>
    <w:next w:val="Normal"/>
    <w:qFormat/>
    <w:rsid w:val="00565C8F"/>
    <w:pPr>
      <w:keepNext/>
      <w:jc w:val="center"/>
      <w:outlineLvl w:val="6"/>
    </w:pPr>
    <w:rPr>
      <w:rFonts w:ascii="Arial Narrow" w:hAnsi="Arial Narrow" w:cs="Arial"/>
      <w:b/>
      <w:bCs/>
      <w:sz w:val="28"/>
    </w:rPr>
  </w:style>
  <w:style w:type="paragraph" w:styleId="Heading8">
    <w:name w:val="heading 8"/>
    <w:aliases w:val="Heading 81,titre 8,PHD Heading 8"/>
    <w:basedOn w:val="Normal"/>
    <w:next w:val="Normal"/>
    <w:qFormat/>
    <w:rsid w:val="00565C8F"/>
    <w:pPr>
      <w:keepNext/>
      <w:jc w:val="center"/>
      <w:outlineLvl w:val="7"/>
    </w:pPr>
    <w:rPr>
      <w:rFonts w:ascii="Arial Narrow" w:hAnsi="Arial Narrow"/>
      <w:b/>
      <w:bCs/>
    </w:rPr>
  </w:style>
  <w:style w:type="paragraph" w:styleId="Heading9">
    <w:name w:val="heading 9"/>
    <w:aliases w:val="Heading 91,titre 9,PHD Heading 9"/>
    <w:basedOn w:val="Normal"/>
    <w:next w:val="Normal"/>
    <w:qFormat/>
    <w:rsid w:val="00565C8F"/>
    <w:pPr>
      <w:keepNext/>
      <w:outlineLvl w:val="8"/>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65C8F"/>
    <w:rPr>
      <w:rFonts w:ascii="Arial" w:hAnsi="Arial"/>
      <w:b/>
      <w:sz w:val="20"/>
      <w:szCs w:val="20"/>
    </w:rPr>
  </w:style>
  <w:style w:type="paragraph" w:styleId="Header">
    <w:name w:val="header"/>
    <w:basedOn w:val="Normal"/>
    <w:rsid w:val="00565C8F"/>
    <w:pPr>
      <w:tabs>
        <w:tab w:val="center" w:pos="4320"/>
        <w:tab w:val="right" w:pos="8640"/>
      </w:tabs>
    </w:pPr>
    <w:rPr>
      <w:sz w:val="20"/>
      <w:szCs w:val="20"/>
    </w:rPr>
  </w:style>
  <w:style w:type="paragraph" w:styleId="BodyText">
    <w:name w:val="Body Text"/>
    <w:basedOn w:val="Normal"/>
    <w:rsid w:val="00565C8F"/>
    <w:pPr>
      <w:tabs>
        <w:tab w:val="left" w:pos="-180"/>
        <w:tab w:val="left" w:pos="1440"/>
        <w:tab w:val="left" w:pos="2160"/>
        <w:tab w:val="left" w:pos="2880"/>
        <w:tab w:val="left" w:pos="3600"/>
        <w:tab w:val="left" w:pos="6912"/>
      </w:tabs>
      <w:spacing w:line="240" w:lineRule="exact"/>
    </w:pPr>
    <w:rPr>
      <w:rFonts w:ascii="Courier New" w:hAnsi="Courier New"/>
      <w:szCs w:val="20"/>
    </w:rPr>
  </w:style>
  <w:style w:type="paragraph" w:styleId="BodyText3">
    <w:name w:val="Body Text 3"/>
    <w:basedOn w:val="Normal"/>
    <w:rsid w:val="00565C8F"/>
    <w:rPr>
      <w:i/>
      <w:iCs/>
      <w:szCs w:val="20"/>
    </w:rPr>
  </w:style>
  <w:style w:type="character" w:customStyle="1" w:styleId="d2n2">
    <w:name w:val="&lt;d2&gt;&lt;n2&gt;"/>
    <w:basedOn w:val="DefaultParagraphFont"/>
    <w:rsid w:val="00565C8F"/>
  </w:style>
  <w:style w:type="character" w:customStyle="1" w:styleId="t2">
    <w:name w:val="&lt;t2&gt;"/>
    <w:basedOn w:val="DefaultParagraphFont"/>
    <w:rsid w:val="00565C8F"/>
  </w:style>
  <w:style w:type="character" w:customStyle="1" w:styleId="t3">
    <w:name w:val="&lt;t3&gt;"/>
    <w:basedOn w:val="DefaultParagraphFont"/>
    <w:rsid w:val="00565C8F"/>
  </w:style>
  <w:style w:type="paragraph" w:styleId="Title">
    <w:name w:val="Title"/>
    <w:basedOn w:val="Normal"/>
    <w:qFormat/>
    <w:rsid w:val="00565C8F"/>
    <w:pPr>
      <w:pBdr>
        <w:bottom w:val="single" w:sz="4" w:space="1" w:color="auto"/>
      </w:pBdr>
      <w:jc w:val="center"/>
    </w:pPr>
    <w:rPr>
      <w:rFonts w:ascii="Arial" w:hAnsi="Arial"/>
      <w:b/>
      <w:sz w:val="32"/>
      <w:szCs w:val="20"/>
    </w:rPr>
  </w:style>
  <w:style w:type="character" w:customStyle="1" w:styleId="lq3">
    <w:name w:val="&lt;lq&gt;(3)"/>
    <w:rsid w:val="00565C8F"/>
    <w:rPr>
      <w:rFonts w:ascii="Courier" w:hAnsi="Courier"/>
      <w:noProof w:val="0"/>
      <w:sz w:val="24"/>
      <w:lang w:val="en-US"/>
    </w:rPr>
  </w:style>
  <w:style w:type="character" w:customStyle="1" w:styleId="ruled">
    <w:name w:val="&lt;rule&gt;(d)"/>
    <w:rsid w:val="00565C8F"/>
    <w:rPr>
      <w:rFonts w:ascii="Courier" w:hAnsi="Courier"/>
      <w:noProof w:val="0"/>
      <w:sz w:val="24"/>
      <w:lang w:val="en-US"/>
    </w:rPr>
  </w:style>
  <w:style w:type="character" w:customStyle="1" w:styleId="d3n3">
    <w:name w:val="&lt;d3&gt;&lt;n3&gt;"/>
    <w:basedOn w:val="DefaultParagraphFont"/>
    <w:rsid w:val="00565C8F"/>
  </w:style>
  <w:style w:type="paragraph" w:styleId="Footer">
    <w:name w:val="footer"/>
    <w:basedOn w:val="Normal"/>
    <w:rsid w:val="00565C8F"/>
    <w:pPr>
      <w:tabs>
        <w:tab w:val="center" w:pos="4320"/>
        <w:tab w:val="right" w:pos="8640"/>
      </w:tabs>
    </w:pPr>
    <w:rPr>
      <w:sz w:val="20"/>
      <w:szCs w:val="20"/>
    </w:rPr>
  </w:style>
  <w:style w:type="character" w:styleId="PageNumber">
    <w:name w:val="page number"/>
    <w:basedOn w:val="DefaultParagraphFont"/>
    <w:rsid w:val="00565C8F"/>
  </w:style>
  <w:style w:type="paragraph" w:customStyle="1" w:styleId="Style1">
    <w:name w:val="Style1"/>
    <w:basedOn w:val="Normal"/>
    <w:rsid w:val="00565C8F"/>
    <w:pPr>
      <w:keepLines/>
      <w:numPr>
        <w:numId w:val="1"/>
      </w:numPr>
      <w:spacing w:after="120"/>
    </w:pPr>
    <w:rPr>
      <w:rFonts w:ascii="Arial" w:hAnsi="Arial" w:cs="Arial"/>
      <w:sz w:val="20"/>
      <w:szCs w:val="20"/>
    </w:rPr>
  </w:style>
  <w:style w:type="paragraph" w:customStyle="1" w:styleId="Style2">
    <w:name w:val="Style2"/>
    <w:basedOn w:val="Normal"/>
    <w:rsid w:val="00565C8F"/>
    <w:pPr>
      <w:keepLines/>
      <w:numPr>
        <w:numId w:val="2"/>
      </w:numPr>
      <w:spacing w:after="80"/>
    </w:pPr>
    <w:rPr>
      <w:rFonts w:ascii="Arial" w:hAnsi="Arial" w:cs="Arial"/>
      <w:sz w:val="20"/>
      <w:szCs w:val="20"/>
    </w:rPr>
  </w:style>
  <w:style w:type="paragraph" w:customStyle="1" w:styleId="Style4">
    <w:name w:val="Style4"/>
    <w:basedOn w:val="Normal"/>
    <w:rsid w:val="00565C8F"/>
    <w:pPr>
      <w:spacing w:after="120"/>
      <w:ind w:left="567"/>
    </w:pPr>
    <w:rPr>
      <w:rFonts w:ascii="Arial" w:hAnsi="Arial"/>
      <w:sz w:val="20"/>
      <w:szCs w:val="20"/>
    </w:rPr>
  </w:style>
  <w:style w:type="paragraph" w:customStyle="1" w:styleId="Style3">
    <w:name w:val="Style3"/>
    <w:basedOn w:val="BodyText"/>
    <w:rsid w:val="00565C8F"/>
    <w:pPr>
      <w:numPr>
        <w:numId w:val="3"/>
      </w:numPr>
      <w:tabs>
        <w:tab w:val="clear" w:pos="-180"/>
        <w:tab w:val="clear" w:pos="1440"/>
        <w:tab w:val="clear" w:pos="2160"/>
        <w:tab w:val="clear" w:pos="2880"/>
        <w:tab w:val="clear" w:pos="3600"/>
        <w:tab w:val="clear" w:pos="6912"/>
      </w:tabs>
      <w:spacing w:after="120" w:line="240" w:lineRule="auto"/>
    </w:pPr>
    <w:rPr>
      <w:rFonts w:ascii="Arial" w:hAnsi="Arial" w:cs="Arial"/>
      <w:sz w:val="20"/>
      <w:lang w:val="en-GB"/>
    </w:rPr>
  </w:style>
  <w:style w:type="character" w:customStyle="1" w:styleId="CharChar1">
    <w:name w:val="Char Char1"/>
    <w:basedOn w:val="DefaultParagraphFont"/>
    <w:semiHidden/>
    <w:rsid w:val="00565C8F"/>
  </w:style>
  <w:style w:type="paragraph" w:styleId="BalloonText">
    <w:name w:val="Balloon Text"/>
    <w:basedOn w:val="Normal"/>
    <w:semiHidden/>
    <w:rsid w:val="00565C8F"/>
    <w:rPr>
      <w:rFonts w:ascii="Tahoma" w:hAnsi="Tahoma" w:cs="Tahoma"/>
      <w:sz w:val="16"/>
      <w:szCs w:val="16"/>
    </w:rPr>
  </w:style>
  <w:style w:type="character" w:styleId="CommentReference">
    <w:name w:val="annotation reference"/>
    <w:semiHidden/>
    <w:rsid w:val="00565C8F"/>
    <w:rPr>
      <w:sz w:val="16"/>
      <w:szCs w:val="16"/>
    </w:rPr>
  </w:style>
  <w:style w:type="paragraph" w:styleId="CommentText">
    <w:name w:val="annotation text"/>
    <w:basedOn w:val="Normal"/>
    <w:link w:val="CommentTextChar"/>
    <w:semiHidden/>
    <w:rsid w:val="00565C8F"/>
    <w:rPr>
      <w:sz w:val="20"/>
      <w:szCs w:val="20"/>
    </w:rPr>
  </w:style>
  <w:style w:type="paragraph" w:styleId="CommentSubject">
    <w:name w:val="annotation subject"/>
    <w:basedOn w:val="CommentText"/>
    <w:next w:val="CommentText"/>
    <w:semiHidden/>
    <w:rsid w:val="00565C8F"/>
    <w:rPr>
      <w:b/>
      <w:bCs/>
    </w:rPr>
  </w:style>
  <w:style w:type="paragraph" w:styleId="PlainText">
    <w:name w:val="Plain Text"/>
    <w:basedOn w:val="Normal"/>
    <w:unhideWhenUsed/>
    <w:rsid w:val="00565C8F"/>
    <w:rPr>
      <w:rFonts w:ascii="Consolas" w:eastAsia="Calibri" w:hAnsi="Consolas"/>
      <w:sz w:val="21"/>
      <w:szCs w:val="21"/>
    </w:rPr>
  </w:style>
  <w:style w:type="character" w:customStyle="1" w:styleId="CharChar">
    <w:name w:val="Char Char"/>
    <w:rsid w:val="00565C8F"/>
    <w:rPr>
      <w:rFonts w:ascii="Consolas" w:eastAsia="Calibri" w:hAnsi="Consolas" w:cs="Times New Roman"/>
      <w:sz w:val="21"/>
      <w:szCs w:val="21"/>
    </w:rPr>
  </w:style>
  <w:style w:type="paragraph" w:styleId="BodyTextIndent3">
    <w:name w:val="Body Text Indent 3"/>
    <w:basedOn w:val="Normal"/>
    <w:rsid w:val="00D80C86"/>
    <w:pPr>
      <w:widowControl w:val="0"/>
      <w:tabs>
        <w:tab w:val="left" w:pos="720"/>
        <w:tab w:val="left" w:pos="1080"/>
        <w:tab w:val="left" w:pos="1440"/>
        <w:tab w:val="left" w:pos="1800"/>
      </w:tabs>
      <w:ind w:left="720"/>
      <w:jc w:val="both"/>
    </w:pPr>
    <w:rPr>
      <w:rFonts w:ascii="Times New Roman" w:hAnsi="Times New Roman"/>
      <w:snapToGrid w:val="0"/>
      <w:sz w:val="22"/>
      <w:szCs w:val="20"/>
      <w:lang w:val="en-GB"/>
    </w:rPr>
  </w:style>
  <w:style w:type="paragraph" w:styleId="FootnoteText">
    <w:name w:val="footnote text"/>
    <w:basedOn w:val="Normal"/>
    <w:semiHidden/>
    <w:rsid w:val="00D80C86"/>
    <w:rPr>
      <w:sz w:val="20"/>
      <w:szCs w:val="20"/>
    </w:rPr>
  </w:style>
  <w:style w:type="character" w:styleId="FootnoteReference">
    <w:name w:val="footnote reference"/>
    <w:semiHidden/>
    <w:rsid w:val="00D80C86"/>
    <w:rPr>
      <w:vertAlign w:val="superscript"/>
    </w:rPr>
  </w:style>
  <w:style w:type="paragraph" w:styleId="HTMLPreformatted">
    <w:name w:val="HTML Preformatted"/>
    <w:basedOn w:val="Normal"/>
    <w:rsid w:val="00D8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volume">
    <w:name w:val="volume"/>
    <w:basedOn w:val="DefaultParagraphFont"/>
    <w:rsid w:val="00D80C86"/>
  </w:style>
  <w:style w:type="character" w:customStyle="1" w:styleId="issue">
    <w:name w:val="issue"/>
    <w:basedOn w:val="DefaultParagraphFont"/>
    <w:rsid w:val="00D80C86"/>
  </w:style>
  <w:style w:type="character" w:customStyle="1" w:styleId="pages">
    <w:name w:val="pages"/>
    <w:basedOn w:val="DefaultParagraphFont"/>
    <w:rsid w:val="00D80C86"/>
  </w:style>
  <w:style w:type="character" w:customStyle="1" w:styleId="ti">
    <w:name w:val="ti"/>
    <w:basedOn w:val="DefaultParagraphFont"/>
    <w:rsid w:val="00D80C86"/>
  </w:style>
  <w:style w:type="character" w:styleId="Hyperlink">
    <w:name w:val="Hyperlink"/>
    <w:rsid w:val="00D80C86"/>
    <w:rPr>
      <w:color w:val="0000FF"/>
      <w:u w:val="single"/>
    </w:rPr>
  </w:style>
  <w:style w:type="table" w:styleId="TableGrid">
    <w:name w:val="Table Grid"/>
    <w:basedOn w:val="TableNormal"/>
    <w:rsid w:val="00D80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4A33C4"/>
    <w:pPr>
      <w:ind w:left="720"/>
    </w:pPr>
  </w:style>
  <w:style w:type="paragraph" w:customStyle="1" w:styleId="Paranospace">
    <w:name w:val="Paranospace"/>
    <w:basedOn w:val="Normal"/>
    <w:semiHidden/>
    <w:rsid w:val="00DC010D"/>
    <w:pPr>
      <w:suppressAutoHyphens/>
      <w:overflowPunct w:val="0"/>
      <w:autoSpaceDE w:val="0"/>
      <w:autoSpaceDN w:val="0"/>
      <w:adjustRightInd w:val="0"/>
      <w:spacing w:after="60"/>
      <w:textAlignment w:val="baseline"/>
    </w:pPr>
    <w:rPr>
      <w:rFonts w:ascii="Arial" w:hAnsi="Arial"/>
      <w:sz w:val="22"/>
      <w:szCs w:val="22"/>
      <w:lang w:eastAsia="fr-FR"/>
    </w:rPr>
  </w:style>
  <w:style w:type="paragraph" w:styleId="NormalWeb">
    <w:name w:val="Normal (Web)"/>
    <w:basedOn w:val="Normal"/>
    <w:rsid w:val="003736E5"/>
    <w:pPr>
      <w:spacing w:before="100" w:beforeAutospacing="1" w:after="100" w:afterAutospacing="1"/>
    </w:pPr>
    <w:rPr>
      <w:rFonts w:ascii="Times New Roman" w:eastAsia="MS Mincho" w:hAnsi="Times New Roman"/>
      <w:lang w:val="en-GB" w:eastAsia="ja-JP"/>
    </w:rPr>
  </w:style>
  <w:style w:type="character" w:customStyle="1" w:styleId="CommentTextChar">
    <w:name w:val="Comment Text Char"/>
    <w:link w:val="CommentText"/>
    <w:semiHidden/>
    <w:locked/>
    <w:rsid w:val="003736E5"/>
    <w:rPr>
      <w:rFonts w:ascii="Garamond" w:hAnsi="Garamond"/>
      <w:lang w:val="en-US" w:eastAsia="en-US" w:bidi="ar-SA"/>
    </w:rPr>
  </w:style>
  <w:style w:type="paragraph" w:customStyle="1" w:styleId="ecxmsonormal">
    <w:name w:val="ecxmsonormal"/>
    <w:basedOn w:val="Normal"/>
    <w:rsid w:val="00CE3BDE"/>
    <w:pPr>
      <w:spacing w:after="324"/>
    </w:pPr>
    <w:rPr>
      <w:rFonts w:ascii="Times New Roman" w:hAnsi="Times New Roman"/>
    </w:rPr>
  </w:style>
  <w:style w:type="character" w:styleId="Emphasis">
    <w:name w:val="Emphasis"/>
    <w:qFormat/>
    <w:rsid w:val="008C38B8"/>
    <w:rPr>
      <w:i/>
      <w:iCs/>
    </w:rPr>
  </w:style>
  <w:style w:type="paragraph" w:styleId="ListParagraph">
    <w:name w:val="List Paragraph"/>
    <w:basedOn w:val="Normal"/>
    <w:uiPriority w:val="72"/>
    <w:qFormat/>
    <w:rsid w:val="00FF66B9"/>
    <w:pPr>
      <w:ind w:left="720"/>
      <w:contextualSpacing/>
    </w:pPr>
  </w:style>
</w:styles>
</file>

<file path=word/webSettings.xml><?xml version="1.0" encoding="utf-8"?>
<w:webSettings xmlns:r="http://schemas.openxmlformats.org/officeDocument/2006/relationships" xmlns:w="http://schemas.openxmlformats.org/wordprocessingml/2006/main">
  <w:divs>
    <w:div w:id="130054917">
      <w:bodyDiv w:val="1"/>
      <w:marLeft w:val="0"/>
      <w:marRight w:val="0"/>
      <w:marTop w:val="0"/>
      <w:marBottom w:val="0"/>
      <w:divBdr>
        <w:top w:val="none" w:sz="0" w:space="0" w:color="auto"/>
        <w:left w:val="none" w:sz="0" w:space="0" w:color="auto"/>
        <w:bottom w:val="none" w:sz="0" w:space="0" w:color="auto"/>
        <w:right w:val="none" w:sz="0" w:space="0" w:color="auto"/>
      </w:divBdr>
    </w:div>
    <w:div w:id="165169040">
      <w:bodyDiv w:val="1"/>
      <w:marLeft w:val="0"/>
      <w:marRight w:val="0"/>
      <w:marTop w:val="0"/>
      <w:marBottom w:val="0"/>
      <w:divBdr>
        <w:top w:val="none" w:sz="0" w:space="0" w:color="auto"/>
        <w:left w:val="none" w:sz="0" w:space="0" w:color="auto"/>
        <w:bottom w:val="none" w:sz="0" w:space="0" w:color="auto"/>
        <w:right w:val="none" w:sz="0" w:space="0" w:color="auto"/>
      </w:divBdr>
      <w:divsChild>
        <w:div w:id="1963878381">
          <w:marLeft w:val="0"/>
          <w:marRight w:val="0"/>
          <w:marTop w:val="0"/>
          <w:marBottom w:val="0"/>
          <w:divBdr>
            <w:top w:val="none" w:sz="0" w:space="0" w:color="auto"/>
            <w:left w:val="none" w:sz="0" w:space="0" w:color="auto"/>
            <w:bottom w:val="none" w:sz="0" w:space="0" w:color="auto"/>
            <w:right w:val="none" w:sz="0" w:space="0" w:color="auto"/>
          </w:divBdr>
        </w:div>
      </w:divsChild>
    </w:div>
    <w:div w:id="53997576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82">
          <w:marLeft w:val="0"/>
          <w:marRight w:val="0"/>
          <w:marTop w:val="0"/>
          <w:marBottom w:val="0"/>
          <w:divBdr>
            <w:top w:val="none" w:sz="0" w:space="0" w:color="auto"/>
            <w:left w:val="none" w:sz="0" w:space="0" w:color="auto"/>
            <w:bottom w:val="none" w:sz="0" w:space="0" w:color="auto"/>
            <w:right w:val="none" w:sz="0" w:space="0" w:color="auto"/>
          </w:divBdr>
          <w:divsChild>
            <w:div w:id="1262252446">
              <w:marLeft w:val="0"/>
              <w:marRight w:val="0"/>
              <w:marTop w:val="0"/>
              <w:marBottom w:val="0"/>
              <w:divBdr>
                <w:top w:val="none" w:sz="0" w:space="0" w:color="auto"/>
                <w:left w:val="none" w:sz="0" w:space="0" w:color="auto"/>
                <w:bottom w:val="none" w:sz="0" w:space="0" w:color="auto"/>
                <w:right w:val="none" w:sz="0" w:space="0" w:color="auto"/>
              </w:divBdr>
              <w:divsChild>
                <w:div w:id="1326667377">
                  <w:marLeft w:val="0"/>
                  <w:marRight w:val="0"/>
                  <w:marTop w:val="0"/>
                  <w:marBottom w:val="0"/>
                  <w:divBdr>
                    <w:top w:val="none" w:sz="0" w:space="0" w:color="auto"/>
                    <w:left w:val="none" w:sz="0" w:space="0" w:color="auto"/>
                    <w:bottom w:val="none" w:sz="0" w:space="0" w:color="auto"/>
                    <w:right w:val="none" w:sz="0" w:space="0" w:color="auto"/>
                  </w:divBdr>
                  <w:divsChild>
                    <w:div w:id="1831210013">
                      <w:marLeft w:val="0"/>
                      <w:marRight w:val="0"/>
                      <w:marTop w:val="0"/>
                      <w:marBottom w:val="0"/>
                      <w:divBdr>
                        <w:top w:val="none" w:sz="0" w:space="0" w:color="auto"/>
                        <w:left w:val="none" w:sz="0" w:space="0" w:color="auto"/>
                        <w:bottom w:val="none" w:sz="0" w:space="0" w:color="auto"/>
                        <w:right w:val="none" w:sz="0" w:space="0" w:color="auto"/>
                      </w:divBdr>
                      <w:divsChild>
                        <w:div w:id="1968929660">
                          <w:marLeft w:val="0"/>
                          <w:marRight w:val="0"/>
                          <w:marTop w:val="0"/>
                          <w:marBottom w:val="0"/>
                          <w:divBdr>
                            <w:top w:val="none" w:sz="0" w:space="0" w:color="auto"/>
                            <w:left w:val="none" w:sz="0" w:space="0" w:color="auto"/>
                            <w:bottom w:val="none" w:sz="0" w:space="0" w:color="auto"/>
                            <w:right w:val="none" w:sz="0" w:space="0" w:color="auto"/>
                          </w:divBdr>
                          <w:divsChild>
                            <w:div w:id="1680548439">
                              <w:marLeft w:val="0"/>
                              <w:marRight w:val="0"/>
                              <w:marTop w:val="0"/>
                              <w:marBottom w:val="0"/>
                              <w:divBdr>
                                <w:top w:val="none" w:sz="0" w:space="0" w:color="auto"/>
                                <w:left w:val="none" w:sz="0" w:space="0" w:color="auto"/>
                                <w:bottom w:val="none" w:sz="0" w:space="0" w:color="auto"/>
                                <w:right w:val="none" w:sz="0" w:space="0" w:color="auto"/>
                              </w:divBdr>
                              <w:divsChild>
                                <w:div w:id="1554999983">
                                  <w:marLeft w:val="0"/>
                                  <w:marRight w:val="0"/>
                                  <w:marTop w:val="0"/>
                                  <w:marBottom w:val="300"/>
                                  <w:divBdr>
                                    <w:top w:val="none" w:sz="0" w:space="0" w:color="auto"/>
                                    <w:left w:val="none" w:sz="0" w:space="0" w:color="auto"/>
                                    <w:bottom w:val="none" w:sz="0" w:space="0" w:color="auto"/>
                                    <w:right w:val="none" w:sz="0" w:space="0" w:color="auto"/>
                                  </w:divBdr>
                                  <w:divsChild>
                                    <w:div w:id="758798368">
                                      <w:marLeft w:val="0"/>
                                      <w:marRight w:val="0"/>
                                      <w:marTop w:val="0"/>
                                      <w:marBottom w:val="0"/>
                                      <w:divBdr>
                                        <w:top w:val="none" w:sz="0" w:space="0" w:color="auto"/>
                                        <w:left w:val="none" w:sz="0" w:space="0" w:color="auto"/>
                                        <w:bottom w:val="none" w:sz="0" w:space="0" w:color="auto"/>
                                        <w:right w:val="none" w:sz="0" w:space="0" w:color="auto"/>
                                      </w:divBdr>
                                      <w:divsChild>
                                        <w:div w:id="834536232">
                                          <w:marLeft w:val="0"/>
                                          <w:marRight w:val="0"/>
                                          <w:marTop w:val="0"/>
                                          <w:marBottom w:val="0"/>
                                          <w:divBdr>
                                            <w:top w:val="none" w:sz="0" w:space="0" w:color="auto"/>
                                            <w:left w:val="none" w:sz="0" w:space="0" w:color="auto"/>
                                            <w:bottom w:val="none" w:sz="0" w:space="0" w:color="auto"/>
                                            <w:right w:val="none" w:sz="0" w:space="0" w:color="auto"/>
                                          </w:divBdr>
                                          <w:divsChild>
                                            <w:div w:id="1959602257">
                                              <w:marLeft w:val="0"/>
                                              <w:marRight w:val="0"/>
                                              <w:marTop w:val="0"/>
                                              <w:marBottom w:val="0"/>
                                              <w:divBdr>
                                                <w:top w:val="none" w:sz="0" w:space="0" w:color="auto"/>
                                                <w:left w:val="none" w:sz="0" w:space="0" w:color="auto"/>
                                                <w:bottom w:val="none" w:sz="0" w:space="0" w:color="auto"/>
                                                <w:right w:val="none" w:sz="0" w:space="0" w:color="auto"/>
                                              </w:divBdr>
                                              <w:divsChild>
                                                <w:div w:id="534276753">
                                                  <w:marLeft w:val="0"/>
                                                  <w:marRight w:val="0"/>
                                                  <w:marTop w:val="0"/>
                                                  <w:marBottom w:val="0"/>
                                                  <w:divBdr>
                                                    <w:top w:val="none" w:sz="0" w:space="0" w:color="auto"/>
                                                    <w:left w:val="none" w:sz="0" w:space="0" w:color="auto"/>
                                                    <w:bottom w:val="none" w:sz="0" w:space="0" w:color="auto"/>
                                                    <w:right w:val="none" w:sz="0" w:space="0" w:color="auto"/>
                                                  </w:divBdr>
                                                  <w:divsChild>
                                                    <w:div w:id="756949822">
                                                      <w:marLeft w:val="0"/>
                                                      <w:marRight w:val="0"/>
                                                      <w:marTop w:val="0"/>
                                                      <w:marBottom w:val="0"/>
                                                      <w:divBdr>
                                                        <w:top w:val="none" w:sz="0" w:space="0" w:color="auto"/>
                                                        <w:left w:val="none" w:sz="0" w:space="0" w:color="auto"/>
                                                        <w:bottom w:val="none" w:sz="0" w:space="0" w:color="auto"/>
                                                        <w:right w:val="none" w:sz="0" w:space="0" w:color="auto"/>
                                                      </w:divBdr>
                                                      <w:divsChild>
                                                        <w:div w:id="264962630">
                                                          <w:marLeft w:val="0"/>
                                                          <w:marRight w:val="0"/>
                                                          <w:marTop w:val="0"/>
                                                          <w:marBottom w:val="0"/>
                                                          <w:divBdr>
                                                            <w:top w:val="none" w:sz="0" w:space="0" w:color="auto"/>
                                                            <w:left w:val="none" w:sz="0" w:space="0" w:color="auto"/>
                                                            <w:bottom w:val="none" w:sz="0" w:space="0" w:color="auto"/>
                                                            <w:right w:val="none" w:sz="0" w:space="0" w:color="auto"/>
                                                          </w:divBdr>
                                                          <w:divsChild>
                                                            <w:div w:id="17185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630539">
      <w:bodyDiv w:val="1"/>
      <w:marLeft w:val="0"/>
      <w:marRight w:val="0"/>
      <w:marTop w:val="0"/>
      <w:marBottom w:val="0"/>
      <w:divBdr>
        <w:top w:val="none" w:sz="0" w:space="0" w:color="auto"/>
        <w:left w:val="none" w:sz="0" w:space="0" w:color="auto"/>
        <w:bottom w:val="none" w:sz="0" w:space="0" w:color="auto"/>
        <w:right w:val="none" w:sz="0" w:space="0" w:color="auto"/>
      </w:divBdr>
      <w:divsChild>
        <w:div w:id="41486178">
          <w:marLeft w:val="0"/>
          <w:marRight w:val="0"/>
          <w:marTop w:val="0"/>
          <w:marBottom w:val="0"/>
          <w:divBdr>
            <w:top w:val="none" w:sz="0" w:space="0" w:color="auto"/>
            <w:left w:val="none" w:sz="0" w:space="0" w:color="auto"/>
            <w:bottom w:val="none" w:sz="0" w:space="0" w:color="auto"/>
            <w:right w:val="none" w:sz="0" w:space="0" w:color="auto"/>
          </w:divBdr>
        </w:div>
        <w:div w:id="743989917">
          <w:marLeft w:val="0"/>
          <w:marRight w:val="0"/>
          <w:marTop w:val="0"/>
          <w:marBottom w:val="0"/>
          <w:divBdr>
            <w:top w:val="none" w:sz="0" w:space="0" w:color="auto"/>
            <w:left w:val="none" w:sz="0" w:space="0" w:color="auto"/>
            <w:bottom w:val="none" w:sz="0" w:space="0" w:color="auto"/>
            <w:right w:val="none" w:sz="0" w:space="0" w:color="auto"/>
          </w:divBdr>
        </w:div>
        <w:div w:id="1220894737">
          <w:marLeft w:val="0"/>
          <w:marRight w:val="0"/>
          <w:marTop w:val="0"/>
          <w:marBottom w:val="0"/>
          <w:divBdr>
            <w:top w:val="none" w:sz="0" w:space="0" w:color="auto"/>
            <w:left w:val="none" w:sz="0" w:space="0" w:color="auto"/>
            <w:bottom w:val="none" w:sz="0" w:space="0" w:color="auto"/>
            <w:right w:val="none" w:sz="0" w:space="0" w:color="auto"/>
          </w:divBdr>
        </w:div>
        <w:div w:id="1300186795">
          <w:marLeft w:val="0"/>
          <w:marRight w:val="0"/>
          <w:marTop w:val="0"/>
          <w:marBottom w:val="0"/>
          <w:divBdr>
            <w:top w:val="none" w:sz="0" w:space="0" w:color="auto"/>
            <w:left w:val="none" w:sz="0" w:space="0" w:color="auto"/>
            <w:bottom w:val="none" w:sz="0" w:space="0" w:color="auto"/>
            <w:right w:val="none" w:sz="0" w:space="0" w:color="auto"/>
          </w:divBdr>
        </w:div>
      </w:divsChild>
    </w:div>
    <w:div w:id="861238710">
      <w:bodyDiv w:val="1"/>
      <w:marLeft w:val="0"/>
      <w:marRight w:val="0"/>
      <w:marTop w:val="0"/>
      <w:marBottom w:val="0"/>
      <w:divBdr>
        <w:top w:val="none" w:sz="0" w:space="0" w:color="auto"/>
        <w:left w:val="none" w:sz="0" w:space="0" w:color="auto"/>
        <w:bottom w:val="none" w:sz="0" w:space="0" w:color="auto"/>
        <w:right w:val="none" w:sz="0" w:space="0" w:color="auto"/>
      </w:divBdr>
      <w:divsChild>
        <w:div w:id="629171741">
          <w:marLeft w:val="0"/>
          <w:marRight w:val="0"/>
          <w:marTop w:val="0"/>
          <w:marBottom w:val="0"/>
          <w:divBdr>
            <w:top w:val="none" w:sz="0" w:space="0" w:color="auto"/>
            <w:left w:val="none" w:sz="0" w:space="0" w:color="auto"/>
            <w:bottom w:val="none" w:sz="0" w:space="0" w:color="auto"/>
            <w:right w:val="none" w:sz="0" w:space="0" w:color="auto"/>
          </w:divBdr>
        </w:div>
        <w:div w:id="434204732">
          <w:marLeft w:val="0"/>
          <w:marRight w:val="0"/>
          <w:marTop w:val="0"/>
          <w:marBottom w:val="0"/>
          <w:divBdr>
            <w:top w:val="none" w:sz="0" w:space="0" w:color="auto"/>
            <w:left w:val="none" w:sz="0" w:space="0" w:color="auto"/>
            <w:bottom w:val="none" w:sz="0" w:space="0" w:color="auto"/>
            <w:right w:val="none" w:sz="0" w:space="0" w:color="auto"/>
          </w:divBdr>
        </w:div>
        <w:div w:id="1153330265">
          <w:marLeft w:val="0"/>
          <w:marRight w:val="0"/>
          <w:marTop w:val="0"/>
          <w:marBottom w:val="0"/>
          <w:divBdr>
            <w:top w:val="none" w:sz="0" w:space="0" w:color="auto"/>
            <w:left w:val="none" w:sz="0" w:space="0" w:color="auto"/>
            <w:bottom w:val="none" w:sz="0" w:space="0" w:color="auto"/>
            <w:right w:val="none" w:sz="0" w:space="0" w:color="auto"/>
          </w:divBdr>
        </w:div>
        <w:div w:id="1003971462">
          <w:marLeft w:val="0"/>
          <w:marRight w:val="0"/>
          <w:marTop w:val="0"/>
          <w:marBottom w:val="0"/>
          <w:divBdr>
            <w:top w:val="none" w:sz="0" w:space="0" w:color="auto"/>
            <w:left w:val="none" w:sz="0" w:space="0" w:color="auto"/>
            <w:bottom w:val="none" w:sz="0" w:space="0" w:color="auto"/>
            <w:right w:val="none" w:sz="0" w:space="0" w:color="auto"/>
          </w:divBdr>
        </w:div>
      </w:divsChild>
    </w:div>
    <w:div w:id="888954519">
      <w:bodyDiv w:val="1"/>
      <w:marLeft w:val="0"/>
      <w:marRight w:val="0"/>
      <w:marTop w:val="0"/>
      <w:marBottom w:val="0"/>
      <w:divBdr>
        <w:top w:val="none" w:sz="0" w:space="0" w:color="auto"/>
        <w:left w:val="none" w:sz="0" w:space="0" w:color="auto"/>
        <w:bottom w:val="none" w:sz="0" w:space="0" w:color="auto"/>
        <w:right w:val="none" w:sz="0" w:space="0" w:color="auto"/>
      </w:divBdr>
      <w:divsChild>
        <w:div w:id="790781700">
          <w:marLeft w:val="0"/>
          <w:marRight w:val="0"/>
          <w:marTop w:val="0"/>
          <w:marBottom w:val="0"/>
          <w:divBdr>
            <w:top w:val="none" w:sz="0" w:space="0" w:color="auto"/>
            <w:left w:val="none" w:sz="0" w:space="0" w:color="auto"/>
            <w:bottom w:val="none" w:sz="0" w:space="0" w:color="auto"/>
            <w:right w:val="none" w:sz="0" w:space="0" w:color="auto"/>
          </w:divBdr>
          <w:divsChild>
            <w:div w:id="636376805">
              <w:marLeft w:val="0"/>
              <w:marRight w:val="0"/>
              <w:marTop w:val="0"/>
              <w:marBottom w:val="0"/>
              <w:divBdr>
                <w:top w:val="none" w:sz="0" w:space="0" w:color="auto"/>
                <w:left w:val="none" w:sz="0" w:space="0" w:color="auto"/>
                <w:bottom w:val="none" w:sz="0" w:space="0" w:color="auto"/>
                <w:right w:val="none" w:sz="0" w:space="0" w:color="auto"/>
              </w:divBdr>
              <w:divsChild>
                <w:div w:id="1384133133">
                  <w:marLeft w:val="0"/>
                  <w:marRight w:val="0"/>
                  <w:marTop w:val="0"/>
                  <w:marBottom w:val="0"/>
                  <w:divBdr>
                    <w:top w:val="none" w:sz="0" w:space="0" w:color="auto"/>
                    <w:left w:val="none" w:sz="0" w:space="0" w:color="auto"/>
                    <w:bottom w:val="none" w:sz="0" w:space="0" w:color="auto"/>
                    <w:right w:val="none" w:sz="0" w:space="0" w:color="auto"/>
                  </w:divBdr>
                  <w:divsChild>
                    <w:div w:id="1686520402">
                      <w:marLeft w:val="0"/>
                      <w:marRight w:val="0"/>
                      <w:marTop w:val="0"/>
                      <w:marBottom w:val="0"/>
                      <w:divBdr>
                        <w:top w:val="none" w:sz="0" w:space="0" w:color="auto"/>
                        <w:left w:val="none" w:sz="0" w:space="0" w:color="auto"/>
                        <w:bottom w:val="none" w:sz="0" w:space="0" w:color="auto"/>
                        <w:right w:val="none" w:sz="0" w:space="0" w:color="auto"/>
                      </w:divBdr>
                      <w:divsChild>
                        <w:div w:id="190992632">
                          <w:marLeft w:val="0"/>
                          <w:marRight w:val="0"/>
                          <w:marTop w:val="0"/>
                          <w:marBottom w:val="0"/>
                          <w:divBdr>
                            <w:top w:val="none" w:sz="0" w:space="0" w:color="auto"/>
                            <w:left w:val="none" w:sz="0" w:space="0" w:color="auto"/>
                            <w:bottom w:val="none" w:sz="0" w:space="0" w:color="auto"/>
                            <w:right w:val="none" w:sz="0" w:space="0" w:color="auto"/>
                          </w:divBdr>
                          <w:divsChild>
                            <w:div w:id="159808214">
                              <w:marLeft w:val="0"/>
                              <w:marRight w:val="0"/>
                              <w:marTop w:val="0"/>
                              <w:marBottom w:val="0"/>
                              <w:divBdr>
                                <w:top w:val="none" w:sz="0" w:space="0" w:color="auto"/>
                                <w:left w:val="none" w:sz="0" w:space="0" w:color="auto"/>
                                <w:bottom w:val="none" w:sz="0" w:space="0" w:color="auto"/>
                                <w:right w:val="none" w:sz="0" w:space="0" w:color="auto"/>
                              </w:divBdr>
                              <w:divsChild>
                                <w:div w:id="922371587">
                                  <w:marLeft w:val="0"/>
                                  <w:marRight w:val="0"/>
                                  <w:marTop w:val="0"/>
                                  <w:marBottom w:val="300"/>
                                  <w:divBdr>
                                    <w:top w:val="none" w:sz="0" w:space="0" w:color="auto"/>
                                    <w:left w:val="none" w:sz="0" w:space="0" w:color="auto"/>
                                    <w:bottom w:val="none" w:sz="0" w:space="0" w:color="auto"/>
                                    <w:right w:val="none" w:sz="0" w:space="0" w:color="auto"/>
                                  </w:divBdr>
                                  <w:divsChild>
                                    <w:div w:id="1034355333">
                                      <w:marLeft w:val="0"/>
                                      <w:marRight w:val="0"/>
                                      <w:marTop w:val="0"/>
                                      <w:marBottom w:val="0"/>
                                      <w:divBdr>
                                        <w:top w:val="none" w:sz="0" w:space="0" w:color="auto"/>
                                        <w:left w:val="none" w:sz="0" w:space="0" w:color="auto"/>
                                        <w:bottom w:val="none" w:sz="0" w:space="0" w:color="auto"/>
                                        <w:right w:val="none" w:sz="0" w:space="0" w:color="auto"/>
                                      </w:divBdr>
                                      <w:divsChild>
                                        <w:div w:id="551506784">
                                          <w:marLeft w:val="0"/>
                                          <w:marRight w:val="0"/>
                                          <w:marTop w:val="0"/>
                                          <w:marBottom w:val="0"/>
                                          <w:divBdr>
                                            <w:top w:val="none" w:sz="0" w:space="0" w:color="auto"/>
                                            <w:left w:val="none" w:sz="0" w:space="0" w:color="auto"/>
                                            <w:bottom w:val="none" w:sz="0" w:space="0" w:color="auto"/>
                                            <w:right w:val="none" w:sz="0" w:space="0" w:color="auto"/>
                                          </w:divBdr>
                                          <w:divsChild>
                                            <w:div w:id="439229803">
                                              <w:marLeft w:val="0"/>
                                              <w:marRight w:val="0"/>
                                              <w:marTop w:val="0"/>
                                              <w:marBottom w:val="0"/>
                                              <w:divBdr>
                                                <w:top w:val="none" w:sz="0" w:space="0" w:color="auto"/>
                                                <w:left w:val="none" w:sz="0" w:space="0" w:color="auto"/>
                                                <w:bottom w:val="none" w:sz="0" w:space="0" w:color="auto"/>
                                                <w:right w:val="none" w:sz="0" w:space="0" w:color="auto"/>
                                              </w:divBdr>
                                              <w:divsChild>
                                                <w:div w:id="1277516844">
                                                  <w:marLeft w:val="0"/>
                                                  <w:marRight w:val="0"/>
                                                  <w:marTop w:val="0"/>
                                                  <w:marBottom w:val="0"/>
                                                  <w:divBdr>
                                                    <w:top w:val="none" w:sz="0" w:space="0" w:color="auto"/>
                                                    <w:left w:val="none" w:sz="0" w:space="0" w:color="auto"/>
                                                    <w:bottom w:val="none" w:sz="0" w:space="0" w:color="auto"/>
                                                    <w:right w:val="none" w:sz="0" w:space="0" w:color="auto"/>
                                                  </w:divBdr>
                                                  <w:divsChild>
                                                    <w:div w:id="1304461209">
                                                      <w:marLeft w:val="0"/>
                                                      <w:marRight w:val="0"/>
                                                      <w:marTop w:val="0"/>
                                                      <w:marBottom w:val="0"/>
                                                      <w:divBdr>
                                                        <w:top w:val="none" w:sz="0" w:space="0" w:color="auto"/>
                                                        <w:left w:val="none" w:sz="0" w:space="0" w:color="auto"/>
                                                        <w:bottom w:val="none" w:sz="0" w:space="0" w:color="auto"/>
                                                        <w:right w:val="none" w:sz="0" w:space="0" w:color="auto"/>
                                                      </w:divBdr>
                                                      <w:divsChild>
                                                        <w:div w:id="1436512796">
                                                          <w:marLeft w:val="0"/>
                                                          <w:marRight w:val="0"/>
                                                          <w:marTop w:val="0"/>
                                                          <w:marBottom w:val="0"/>
                                                          <w:divBdr>
                                                            <w:top w:val="none" w:sz="0" w:space="0" w:color="auto"/>
                                                            <w:left w:val="none" w:sz="0" w:space="0" w:color="auto"/>
                                                            <w:bottom w:val="none" w:sz="0" w:space="0" w:color="auto"/>
                                                            <w:right w:val="none" w:sz="0" w:space="0" w:color="auto"/>
                                                          </w:divBdr>
                                                          <w:divsChild>
                                                            <w:div w:id="15565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9387987">
      <w:bodyDiv w:val="1"/>
      <w:marLeft w:val="0"/>
      <w:marRight w:val="0"/>
      <w:marTop w:val="0"/>
      <w:marBottom w:val="0"/>
      <w:divBdr>
        <w:top w:val="none" w:sz="0" w:space="0" w:color="auto"/>
        <w:left w:val="none" w:sz="0" w:space="0" w:color="auto"/>
        <w:bottom w:val="none" w:sz="0" w:space="0" w:color="auto"/>
        <w:right w:val="none" w:sz="0" w:space="0" w:color="auto"/>
      </w:divBdr>
    </w:div>
    <w:div w:id="1082218034">
      <w:bodyDiv w:val="1"/>
      <w:marLeft w:val="0"/>
      <w:marRight w:val="0"/>
      <w:marTop w:val="0"/>
      <w:marBottom w:val="0"/>
      <w:divBdr>
        <w:top w:val="none" w:sz="0" w:space="0" w:color="auto"/>
        <w:left w:val="none" w:sz="0" w:space="0" w:color="auto"/>
        <w:bottom w:val="none" w:sz="0" w:space="0" w:color="auto"/>
        <w:right w:val="none" w:sz="0" w:space="0" w:color="auto"/>
      </w:divBdr>
    </w:div>
    <w:div w:id="1172061807">
      <w:bodyDiv w:val="1"/>
      <w:marLeft w:val="0"/>
      <w:marRight w:val="0"/>
      <w:marTop w:val="0"/>
      <w:marBottom w:val="0"/>
      <w:divBdr>
        <w:top w:val="none" w:sz="0" w:space="0" w:color="auto"/>
        <w:left w:val="none" w:sz="0" w:space="0" w:color="auto"/>
        <w:bottom w:val="none" w:sz="0" w:space="0" w:color="auto"/>
        <w:right w:val="none" w:sz="0" w:space="0" w:color="auto"/>
      </w:divBdr>
    </w:div>
    <w:div w:id="1230265985">
      <w:bodyDiv w:val="1"/>
      <w:marLeft w:val="1440"/>
      <w:marRight w:val="1440"/>
      <w:marTop w:val="0"/>
      <w:marBottom w:val="0"/>
      <w:divBdr>
        <w:top w:val="none" w:sz="0" w:space="0" w:color="auto"/>
        <w:left w:val="none" w:sz="0" w:space="0" w:color="auto"/>
        <w:bottom w:val="none" w:sz="0" w:space="0" w:color="auto"/>
        <w:right w:val="none" w:sz="0" w:space="0" w:color="auto"/>
      </w:divBdr>
    </w:div>
    <w:div w:id="1313098177">
      <w:bodyDiv w:val="1"/>
      <w:marLeft w:val="1440"/>
      <w:marRight w:val="1440"/>
      <w:marTop w:val="0"/>
      <w:marBottom w:val="0"/>
      <w:divBdr>
        <w:top w:val="none" w:sz="0" w:space="0" w:color="auto"/>
        <w:left w:val="none" w:sz="0" w:space="0" w:color="auto"/>
        <w:bottom w:val="none" w:sz="0" w:space="0" w:color="auto"/>
        <w:right w:val="none" w:sz="0" w:space="0" w:color="auto"/>
      </w:divBdr>
    </w:div>
    <w:div w:id="1339187828">
      <w:bodyDiv w:val="1"/>
      <w:marLeft w:val="0"/>
      <w:marRight w:val="0"/>
      <w:marTop w:val="0"/>
      <w:marBottom w:val="0"/>
      <w:divBdr>
        <w:top w:val="none" w:sz="0" w:space="0" w:color="auto"/>
        <w:left w:val="none" w:sz="0" w:space="0" w:color="auto"/>
        <w:bottom w:val="none" w:sz="0" w:space="0" w:color="auto"/>
        <w:right w:val="none" w:sz="0" w:space="0" w:color="auto"/>
      </w:divBdr>
    </w:div>
    <w:div w:id="1638683958">
      <w:bodyDiv w:val="1"/>
      <w:marLeft w:val="0"/>
      <w:marRight w:val="0"/>
      <w:marTop w:val="0"/>
      <w:marBottom w:val="0"/>
      <w:divBdr>
        <w:top w:val="none" w:sz="0" w:space="0" w:color="auto"/>
        <w:left w:val="none" w:sz="0" w:space="0" w:color="auto"/>
        <w:bottom w:val="none" w:sz="0" w:space="0" w:color="auto"/>
        <w:right w:val="none" w:sz="0" w:space="0" w:color="auto"/>
      </w:divBdr>
    </w:div>
    <w:div w:id="1865363911">
      <w:bodyDiv w:val="1"/>
      <w:marLeft w:val="0"/>
      <w:marRight w:val="0"/>
      <w:marTop w:val="0"/>
      <w:marBottom w:val="0"/>
      <w:divBdr>
        <w:top w:val="none" w:sz="0" w:space="0" w:color="auto"/>
        <w:left w:val="none" w:sz="0" w:space="0" w:color="auto"/>
        <w:bottom w:val="none" w:sz="0" w:space="0" w:color="auto"/>
        <w:right w:val="none" w:sz="0" w:space="0" w:color="auto"/>
      </w:divBdr>
      <w:divsChild>
        <w:div w:id="869758250">
          <w:marLeft w:val="0"/>
          <w:marRight w:val="0"/>
          <w:marTop w:val="0"/>
          <w:marBottom w:val="0"/>
          <w:divBdr>
            <w:top w:val="none" w:sz="0" w:space="0" w:color="auto"/>
            <w:left w:val="none" w:sz="0" w:space="0" w:color="auto"/>
            <w:bottom w:val="none" w:sz="0" w:space="0" w:color="auto"/>
            <w:right w:val="none" w:sz="0" w:space="0" w:color="auto"/>
          </w:divBdr>
          <w:divsChild>
            <w:div w:id="718674407">
              <w:marLeft w:val="0"/>
              <w:marRight w:val="0"/>
              <w:marTop w:val="0"/>
              <w:marBottom w:val="0"/>
              <w:divBdr>
                <w:top w:val="none" w:sz="0" w:space="0" w:color="auto"/>
                <w:left w:val="none" w:sz="0" w:space="0" w:color="auto"/>
                <w:bottom w:val="none" w:sz="0" w:space="0" w:color="auto"/>
                <w:right w:val="none" w:sz="0" w:space="0" w:color="auto"/>
              </w:divBdr>
              <w:divsChild>
                <w:div w:id="1888909638">
                  <w:marLeft w:val="0"/>
                  <w:marRight w:val="0"/>
                  <w:marTop w:val="0"/>
                  <w:marBottom w:val="0"/>
                  <w:divBdr>
                    <w:top w:val="none" w:sz="0" w:space="0" w:color="auto"/>
                    <w:left w:val="none" w:sz="0" w:space="0" w:color="auto"/>
                    <w:bottom w:val="none" w:sz="0" w:space="0" w:color="auto"/>
                    <w:right w:val="none" w:sz="0" w:space="0" w:color="auto"/>
                  </w:divBdr>
                  <w:divsChild>
                    <w:div w:id="15667724">
                      <w:marLeft w:val="0"/>
                      <w:marRight w:val="0"/>
                      <w:marTop w:val="0"/>
                      <w:marBottom w:val="0"/>
                      <w:divBdr>
                        <w:top w:val="none" w:sz="0" w:space="0" w:color="auto"/>
                        <w:left w:val="none" w:sz="0" w:space="0" w:color="auto"/>
                        <w:bottom w:val="none" w:sz="0" w:space="0" w:color="auto"/>
                        <w:right w:val="none" w:sz="0" w:space="0" w:color="auto"/>
                      </w:divBdr>
                      <w:divsChild>
                        <w:div w:id="2143037683">
                          <w:marLeft w:val="0"/>
                          <w:marRight w:val="0"/>
                          <w:marTop w:val="0"/>
                          <w:marBottom w:val="0"/>
                          <w:divBdr>
                            <w:top w:val="none" w:sz="0" w:space="0" w:color="auto"/>
                            <w:left w:val="none" w:sz="0" w:space="0" w:color="auto"/>
                            <w:bottom w:val="none" w:sz="0" w:space="0" w:color="auto"/>
                            <w:right w:val="none" w:sz="0" w:space="0" w:color="auto"/>
                          </w:divBdr>
                          <w:divsChild>
                            <w:div w:id="1906259742">
                              <w:marLeft w:val="0"/>
                              <w:marRight w:val="0"/>
                              <w:marTop w:val="0"/>
                              <w:marBottom w:val="0"/>
                              <w:divBdr>
                                <w:top w:val="none" w:sz="0" w:space="0" w:color="auto"/>
                                <w:left w:val="none" w:sz="0" w:space="0" w:color="auto"/>
                                <w:bottom w:val="none" w:sz="0" w:space="0" w:color="auto"/>
                                <w:right w:val="none" w:sz="0" w:space="0" w:color="auto"/>
                              </w:divBdr>
                              <w:divsChild>
                                <w:div w:id="606616129">
                                  <w:marLeft w:val="0"/>
                                  <w:marRight w:val="0"/>
                                  <w:marTop w:val="0"/>
                                  <w:marBottom w:val="300"/>
                                  <w:divBdr>
                                    <w:top w:val="none" w:sz="0" w:space="0" w:color="auto"/>
                                    <w:left w:val="none" w:sz="0" w:space="0" w:color="auto"/>
                                    <w:bottom w:val="none" w:sz="0" w:space="0" w:color="auto"/>
                                    <w:right w:val="none" w:sz="0" w:space="0" w:color="auto"/>
                                  </w:divBdr>
                                  <w:divsChild>
                                    <w:div w:id="1323389845">
                                      <w:marLeft w:val="0"/>
                                      <w:marRight w:val="0"/>
                                      <w:marTop w:val="0"/>
                                      <w:marBottom w:val="0"/>
                                      <w:divBdr>
                                        <w:top w:val="none" w:sz="0" w:space="0" w:color="auto"/>
                                        <w:left w:val="none" w:sz="0" w:space="0" w:color="auto"/>
                                        <w:bottom w:val="none" w:sz="0" w:space="0" w:color="auto"/>
                                        <w:right w:val="none" w:sz="0" w:space="0" w:color="auto"/>
                                      </w:divBdr>
                                      <w:divsChild>
                                        <w:div w:id="1492871251">
                                          <w:marLeft w:val="0"/>
                                          <w:marRight w:val="0"/>
                                          <w:marTop w:val="0"/>
                                          <w:marBottom w:val="0"/>
                                          <w:divBdr>
                                            <w:top w:val="none" w:sz="0" w:space="0" w:color="auto"/>
                                            <w:left w:val="none" w:sz="0" w:space="0" w:color="auto"/>
                                            <w:bottom w:val="none" w:sz="0" w:space="0" w:color="auto"/>
                                            <w:right w:val="none" w:sz="0" w:space="0" w:color="auto"/>
                                          </w:divBdr>
                                          <w:divsChild>
                                            <w:div w:id="708797192">
                                              <w:marLeft w:val="0"/>
                                              <w:marRight w:val="0"/>
                                              <w:marTop w:val="0"/>
                                              <w:marBottom w:val="0"/>
                                              <w:divBdr>
                                                <w:top w:val="none" w:sz="0" w:space="0" w:color="auto"/>
                                                <w:left w:val="none" w:sz="0" w:space="0" w:color="auto"/>
                                                <w:bottom w:val="none" w:sz="0" w:space="0" w:color="auto"/>
                                                <w:right w:val="none" w:sz="0" w:space="0" w:color="auto"/>
                                              </w:divBdr>
                                              <w:divsChild>
                                                <w:div w:id="1913541986">
                                                  <w:marLeft w:val="0"/>
                                                  <w:marRight w:val="0"/>
                                                  <w:marTop w:val="0"/>
                                                  <w:marBottom w:val="0"/>
                                                  <w:divBdr>
                                                    <w:top w:val="none" w:sz="0" w:space="0" w:color="auto"/>
                                                    <w:left w:val="none" w:sz="0" w:space="0" w:color="auto"/>
                                                    <w:bottom w:val="none" w:sz="0" w:space="0" w:color="auto"/>
                                                    <w:right w:val="none" w:sz="0" w:space="0" w:color="auto"/>
                                                  </w:divBdr>
                                                  <w:divsChild>
                                                    <w:div w:id="324480933">
                                                      <w:marLeft w:val="0"/>
                                                      <w:marRight w:val="0"/>
                                                      <w:marTop w:val="0"/>
                                                      <w:marBottom w:val="0"/>
                                                      <w:divBdr>
                                                        <w:top w:val="none" w:sz="0" w:space="0" w:color="auto"/>
                                                        <w:left w:val="none" w:sz="0" w:space="0" w:color="auto"/>
                                                        <w:bottom w:val="none" w:sz="0" w:space="0" w:color="auto"/>
                                                        <w:right w:val="none" w:sz="0" w:space="0" w:color="auto"/>
                                                      </w:divBdr>
                                                      <w:divsChild>
                                                        <w:div w:id="1299914441">
                                                          <w:marLeft w:val="0"/>
                                                          <w:marRight w:val="0"/>
                                                          <w:marTop w:val="0"/>
                                                          <w:marBottom w:val="0"/>
                                                          <w:divBdr>
                                                            <w:top w:val="none" w:sz="0" w:space="0" w:color="auto"/>
                                                            <w:left w:val="none" w:sz="0" w:space="0" w:color="auto"/>
                                                            <w:bottom w:val="none" w:sz="0" w:space="0" w:color="auto"/>
                                                            <w:right w:val="none" w:sz="0" w:space="0" w:color="auto"/>
                                                          </w:divBdr>
                                                          <w:divsChild>
                                                            <w:div w:id="21290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lothian.scot.nhs.uk/NHSLothian/Healthcare/A-Z/CancerServices/Pages/CancerServices.aspx" TargetMode="Externa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ference.medscape.com/drug/nexavar-sorafenib-3422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stewart\Application%20Data\Microsoft\Templates\Qual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Quality</Template>
  <TotalTime>0</TotalTime>
  <Pages>17</Pages>
  <Words>6002</Words>
  <Characters>33854</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RADIATION SAFETY IRMER 2000 (as amended)</vt:lpstr>
    </vt:vector>
  </TitlesOfParts>
  <Company>luht</Company>
  <LinksUpToDate>false</LinksUpToDate>
  <CharactersWithSpaces>39777</CharactersWithSpaces>
  <SharedDoc>false</SharedDoc>
  <HLinks>
    <vt:vector size="12" baseType="variant">
      <vt:variant>
        <vt:i4>6881362</vt:i4>
      </vt:variant>
      <vt:variant>
        <vt:i4>3</vt:i4>
      </vt:variant>
      <vt:variant>
        <vt:i4>0</vt:i4>
      </vt:variant>
      <vt:variant>
        <vt:i4>5</vt:i4>
      </vt:variant>
      <vt:variant>
        <vt:lpwstr>http://reference.medscape.com/drug/nexavar-sorafenib-342260</vt:lpwstr>
      </vt:variant>
      <vt:variant>
        <vt:lpwstr/>
      </vt:variant>
      <vt:variant>
        <vt:i4>6619174</vt:i4>
      </vt:variant>
      <vt:variant>
        <vt:i4>0</vt:i4>
      </vt:variant>
      <vt:variant>
        <vt:i4>0</vt:i4>
      </vt:variant>
      <vt:variant>
        <vt:i4>5</vt:i4>
      </vt:variant>
      <vt:variant>
        <vt:lpwstr>http://intranet.lothian.scot.nhs.uk/NHSLothian/Healthcare/A-Z/CancerServices/Pages/CancerServices.aspx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IRMER 2000 (as amended)</dc:title>
  <dc:creator>NHSLAdmin</dc:creator>
  <cp:lastModifiedBy>Mark Strachan</cp:lastModifiedBy>
  <cp:revision>2</cp:revision>
  <cp:lastPrinted>2012-04-23T13:11:00Z</cp:lastPrinted>
  <dcterms:created xsi:type="dcterms:W3CDTF">2017-02-09T13:41:00Z</dcterms:created>
  <dcterms:modified xsi:type="dcterms:W3CDTF">2017-02-09T13:41:00Z</dcterms:modified>
</cp:coreProperties>
</file>