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5E" w:rsidRPr="00634ECE" w:rsidRDefault="0055045E" w:rsidP="0055045E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34ECE">
        <w:rPr>
          <w:rFonts w:ascii="Arial" w:hAnsi="Arial" w:cs="Arial"/>
          <w:color w:val="000000"/>
          <w:sz w:val="28"/>
          <w:szCs w:val="28"/>
        </w:rPr>
        <w:t>Clinical Guidance Document</w:t>
      </w:r>
    </w:p>
    <w:p w:rsidR="00566207" w:rsidRPr="00C21CA0" w:rsidRDefault="00E324D1" w:rsidP="003A424C">
      <w:pPr>
        <w:jc w:val="center"/>
        <w:rPr>
          <w:sz w:val="12"/>
          <w:szCs w:val="12"/>
        </w:rPr>
      </w:pPr>
      <w:r w:rsidRPr="00E324D1">
        <w:rPr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5.8pt;width:557.25pt;height:705.75pt;z-index:-251658752;mso-wrap-edited:f" strokeweight="1.5pt">
            <v:shadow color="fuchsia" offset="9pt,9pt" offset2="6pt,6pt"/>
            <v:textbox style="mso-next-textbox:#_x0000_s1026">
              <w:txbxContent>
                <w:p w:rsidR="00756993" w:rsidRPr="00C21CA0" w:rsidRDefault="00756993" w:rsidP="005466A1">
                  <w:pPr>
                    <w:overflowPunct/>
                    <w:autoSpaceDE/>
                    <w:autoSpaceDN/>
                    <w:adjustRightInd/>
                    <w:spacing w:before="120" w:after="80" w:line="360" w:lineRule="auto"/>
                    <w:ind w:left="142" w:right="170"/>
                    <w:jc w:val="both"/>
                    <w:textAlignment w:val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1CA0">
                    <w:rPr>
                      <w:rFonts w:ascii="Arial" w:hAnsi="Arial" w:cs="Arial"/>
                      <w:sz w:val="18"/>
                      <w:szCs w:val="18"/>
                    </w:rPr>
                    <w:t>The majority of patients with diabetes are treated using a small number of insulin preparations. Patients admitted as emergencies to in-patient sites may not have their usual prescribed insulin on their person.</w:t>
                  </w:r>
                </w:p>
                <w:p w:rsidR="00756993" w:rsidRPr="00C21CA0" w:rsidRDefault="00756993" w:rsidP="005466A1">
                  <w:pPr>
                    <w:spacing w:after="80" w:line="360" w:lineRule="auto"/>
                    <w:ind w:left="142"/>
                    <w:rPr>
                      <w:rFonts w:ascii="Arial" w:hAnsi="Arial" w:cs="Arial"/>
                      <w:b/>
                      <w:sz w:val="20"/>
                    </w:rPr>
                  </w:pPr>
                  <w:r w:rsidRPr="00C21CA0">
                    <w:rPr>
                      <w:rFonts w:ascii="Arial" w:hAnsi="Arial" w:cs="Arial"/>
                      <w:b/>
                      <w:sz w:val="20"/>
                    </w:rPr>
                    <w:t>To facilitate safe insulin use, the following advice is provided:</w:t>
                  </w:r>
                </w:p>
                <w:p w:rsidR="00756993" w:rsidRPr="00F30678" w:rsidRDefault="00756993" w:rsidP="00F30678">
                  <w:pPr>
                    <w:pStyle w:val="ListParagraph"/>
                    <w:numPr>
                      <w:ilvl w:val="0"/>
                      <w:numId w:val="33"/>
                    </w:numPr>
                    <w:spacing w:line="360" w:lineRule="auto"/>
                    <w:ind w:hanging="29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0678">
                    <w:rPr>
                      <w:rFonts w:ascii="Arial" w:hAnsi="Arial" w:cs="Arial"/>
                      <w:sz w:val="18"/>
                      <w:szCs w:val="18"/>
                    </w:rPr>
                    <w:t>Patients bringing their own supply, and who are able to administer their own insulin, should do so.</w:t>
                  </w:r>
                </w:p>
                <w:p w:rsidR="00756993" w:rsidRPr="00F30678" w:rsidRDefault="00756993" w:rsidP="00F30678">
                  <w:pPr>
                    <w:pStyle w:val="ListParagraph"/>
                    <w:numPr>
                      <w:ilvl w:val="0"/>
                      <w:numId w:val="33"/>
                    </w:numPr>
                    <w:spacing w:after="120" w:line="360" w:lineRule="auto"/>
                    <w:ind w:hanging="29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30678">
                    <w:rPr>
                      <w:rFonts w:ascii="Arial" w:hAnsi="Arial" w:cs="Arial"/>
                      <w:sz w:val="18"/>
                      <w:szCs w:val="18"/>
                    </w:rPr>
                    <w:t xml:space="preserve">Patients who do not bring, or who cannot administer their own insulin, should receive ward stock </w:t>
                  </w:r>
                  <w:r w:rsidR="00F30678" w:rsidRPr="00F30678">
                    <w:rPr>
                      <w:rFonts w:ascii="Arial" w:hAnsi="Arial" w:cs="Arial"/>
                      <w:sz w:val="18"/>
                      <w:szCs w:val="18"/>
                    </w:rPr>
                    <w:t xml:space="preserve">alternative </w:t>
                  </w:r>
                  <w:r w:rsidRPr="00F30678">
                    <w:rPr>
                      <w:rFonts w:ascii="Arial" w:hAnsi="Arial" w:cs="Arial"/>
                      <w:sz w:val="18"/>
                      <w:szCs w:val="18"/>
                    </w:rPr>
                    <w:t>as follows:</w:t>
                  </w:r>
                </w:p>
                <w:p w:rsidR="00756993" w:rsidRPr="00F41164" w:rsidRDefault="007569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tbl>
                  <w:tblPr>
                    <w:tblW w:w="10688" w:type="dxa"/>
                    <w:jc w:val="center"/>
                    <w:tblInd w:w="-4542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V w:val="single" w:sz="6" w:space="0" w:color="000000"/>
                    </w:tblBorders>
                    <w:tblLook w:val="01E0"/>
                  </w:tblPr>
                  <w:tblGrid>
                    <w:gridCol w:w="1276"/>
                    <w:gridCol w:w="1900"/>
                    <w:gridCol w:w="1842"/>
                    <w:gridCol w:w="1877"/>
                    <w:gridCol w:w="1809"/>
                    <w:gridCol w:w="1984"/>
                  </w:tblGrid>
                  <w:tr w:rsidR="00756993" w:rsidTr="00466B82">
                    <w:trPr>
                      <w:trHeight w:val="1059"/>
                      <w:jc w:val="center"/>
                    </w:trPr>
                    <w:tc>
                      <w:tcPr>
                        <w:tcW w:w="127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Duration of action and time given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Default="00756993" w:rsidP="003A424C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40832">
                          <w:rPr>
                            <w:rFonts w:ascii="Arial" w:hAnsi="Arial" w:cs="Arial"/>
                            <w:b/>
                            <w:szCs w:val="22"/>
                          </w:rPr>
                          <w:t>Rapid</w:t>
                        </w:r>
                      </w:p>
                      <w:p w:rsidR="00756993" w:rsidRPr="00B40832" w:rsidRDefault="00756993" w:rsidP="003A42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756993" w:rsidRDefault="00756993" w:rsidP="00634EC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10 -15 minutes </w:t>
                        </w:r>
                      </w:p>
                      <w:p w:rsidR="00756993" w:rsidRDefault="00756993" w:rsidP="00634EC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before food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Pr="00B40832" w:rsidRDefault="00756993" w:rsidP="003A424C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40832">
                          <w:rPr>
                            <w:rFonts w:ascii="Arial" w:hAnsi="Arial" w:cs="Arial"/>
                            <w:b/>
                            <w:szCs w:val="22"/>
                          </w:rPr>
                          <w:t>Short</w:t>
                        </w:r>
                      </w:p>
                      <w:p w:rsidR="00756993" w:rsidRPr="00B40832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15 - 30 minutes</w:t>
                        </w: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before food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BF8F"/>
                        <w:vAlign w:val="center"/>
                      </w:tcPr>
                      <w:p w:rsidR="00756993" w:rsidRPr="00B40832" w:rsidRDefault="00756993" w:rsidP="003A424C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40832">
                          <w:rPr>
                            <w:rFonts w:ascii="Arial" w:hAnsi="Arial" w:cs="Arial"/>
                            <w:b/>
                            <w:szCs w:val="22"/>
                          </w:rPr>
                          <w:t>Intermediate</w:t>
                        </w:r>
                      </w:p>
                      <w:p w:rsidR="00756993" w:rsidRPr="00B40832" w:rsidRDefault="00756993" w:rsidP="003A42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Same time </w:t>
                        </w:r>
                      </w:p>
                      <w:p w:rsidR="00756993" w:rsidRPr="00537BB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every day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8DB3E2"/>
                        <w:vAlign w:val="center"/>
                      </w:tcPr>
                      <w:p w:rsidR="00756993" w:rsidRPr="00B40832" w:rsidRDefault="00756993" w:rsidP="003A424C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40832">
                          <w:rPr>
                            <w:rFonts w:ascii="Arial" w:hAnsi="Arial" w:cs="Arial"/>
                            <w:b/>
                            <w:szCs w:val="22"/>
                          </w:rPr>
                          <w:t>Long</w:t>
                        </w:r>
                      </w:p>
                      <w:p w:rsidR="00756993" w:rsidRPr="00B40832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Same time </w:t>
                        </w: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every day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12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CC"/>
                        <w:vAlign w:val="center"/>
                      </w:tcPr>
                      <w:p w:rsidR="00756993" w:rsidRPr="00B40832" w:rsidRDefault="00756993" w:rsidP="003A424C">
                        <w:pPr>
                          <w:spacing w:after="40"/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B40832">
                          <w:rPr>
                            <w:rFonts w:ascii="Arial" w:hAnsi="Arial" w:cs="Arial"/>
                            <w:b/>
                            <w:szCs w:val="22"/>
                          </w:rPr>
                          <w:t>Fixed Mixture</w:t>
                        </w:r>
                      </w:p>
                      <w:p w:rsidR="00756993" w:rsidRPr="00B40832" w:rsidRDefault="00756993" w:rsidP="003A42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8"/>
                            <w:szCs w:val="8"/>
                          </w:rPr>
                        </w:pPr>
                      </w:p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15 - 30 minutes before food</w:t>
                        </w:r>
                      </w:p>
                    </w:tc>
                  </w:tr>
                  <w:tr w:rsidR="00756993" w:rsidTr="00466B82">
                    <w:trPr>
                      <w:trHeight w:val="1531"/>
                      <w:jc w:val="center"/>
                    </w:trPr>
                    <w:tc>
                      <w:tcPr>
                        <w:tcW w:w="1276" w:type="dxa"/>
                        <w:tcBorders>
                          <w:left w:val="single" w:sz="1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Patient’s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usual insulin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Novorapid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Apidra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Fiasp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Humalog</w:t>
                        </w:r>
                      </w:p>
                      <w:p w:rsidR="00756993" w:rsidRPr="00777F62" w:rsidRDefault="00756993" w:rsidP="00DC1B9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Actrapid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Humulin S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Insuman R</w:t>
                        </w: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apid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ABF8F"/>
                        <w:vAlign w:val="center"/>
                      </w:tcPr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Insulatard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Humulin I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Insuman Basal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Levemir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8DB3E2"/>
                        <w:vAlign w:val="center"/>
                      </w:tcPr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Lantus</w:t>
                        </w:r>
                      </w:p>
                      <w:p w:rsidR="00756993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Abasaglar</w:t>
                        </w:r>
                      </w:p>
                      <w:p w:rsidR="00756993" w:rsidRPr="00537BB3" w:rsidRDefault="00756993" w:rsidP="00DC1B9E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Tresiba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shd w:val="clear" w:color="auto" w:fill="CCFFCC"/>
                        <w:vAlign w:val="center"/>
                      </w:tcPr>
                      <w:p w:rsidR="00756993" w:rsidRDefault="00756993" w:rsidP="003F45BB">
                        <w:pPr>
                          <w:spacing w:before="80"/>
                          <w:jc w:val="center"/>
                          <w:rPr>
                            <w:rFonts w:ascii="Arial" w:hAnsi="Arial" w:cs="Arial"/>
                            <w:sz w:val="20"/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a-DK"/>
                          </w:rPr>
                          <w:t>Humulin M3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da-DK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  <w:lang w:val="da-DK"/>
                          </w:rPr>
                          <w:t>Humalog Mix 25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da-DK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  <w:lang w:val="da-DK"/>
                          </w:rPr>
                          <w:t>Humalog Mix 50</w:t>
                        </w:r>
                      </w:p>
                      <w:p w:rsidR="00756993" w:rsidRPr="007879DA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lang w:val="da-DK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lang w:val="da-DK"/>
                          </w:rPr>
                          <w:t>Novomix 30</w:t>
                        </w:r>
                      </w:p>
                      <w:p w:rsidR="00756993" w:rsidRPr="00777F62" w:rsidRDefault="00756993" w:rsidP="003F45B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Insuman Comb</w:t>
                        </w:r>
                      </w:p>
                      <w:p w:rsidR="00756993" w:rsidRDefault="00756993" w:rsidP="003F45BB">
                        <w:pPr>
                          <w:spacing w:after="8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77F62">
                          <w:rPr>
                            <w:rFonts w:ascii="Arial" w:hAnsi="Arial" w:cs="Arial"/>
                            <w:sz w:val="20"/>
                          </w:rPr>
                          <w:t>(15,25,50)</w:t>
                        </w:r>
                      </w:p>
                    </w:tc>
                  </w:tr>
                  <w:tr w:rsidR="00756993" w:rsidRPr="00064686" w:rsidTr="00466B82">
                    <w:trPr>
                      <w:trHeight w:val="889"/>
                      <w:jc w:val="center"/>
                    </w:trPr>
                    <w:tc>
                      <w:tcPr>
                        <w:tcW w:w="1276" w:type="dxa"/>
                        <w:tcBorders>
                          <w:top w:val="single" w:sz="6" w:space="0" w:color="000000"/>
                          <w:left w:val="single" w:sz="1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756993" w:rsidRDefault="00756993" w:rsidP="003A424C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Ward stock alternative (10ml vial)</w:t>
                        </w:r>
                      </w:p>
                    </w:tc>
                    <w:tc>
                      <w:tcPr>
                        <w:tcW w:w="1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Pr="00064686" w:rsidRDefault="00756993" w:rsidP="00DC1B9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064686">
                          <w:rPr>
                            <w:rFonts w:ascii="Arial" w:hAnsi="Arial" w:cs="Arial"/>
                            <w:b/>
                            <w:szCs w:val="22"/>
                          </w:rPr>
                          <w:t>Novorapid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FFF99"/>
                        <w:vAlign w:val="center"/>
                      </w:tcPr>
                      <w:p w:rsidR="00756993" w:rsidRPr="00064686" w:rsidRDefault="00756993" w:rsidP="00DC1B9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064686">
                          <w:rPr>
                            <w:rFonts w:ascii="Arial" w:hAnsi="Arial" w:cs="Arial"/>
                            <w:b/>
                            <w:szCs w:val="22"/>
                          </w:rPr>
                          <w:t>Actrapid</w:t>
                        </w:r>
                      </w:p>
                    </w:tc>
                    <w:tc>
                      <w:tcPr>
                        <w:tcW w:w="187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FABF8F"/>
                        <w:vAlign w:val="center"/>
                      </w:tcPr>
                      <w:p w:rsidR="00756993" w:rsidRPr="00064686" w:rsidRDefault="00756993" w:rsidP="00DC1B9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064686">
                          <w:rPr>
                            <w:rFonts w:ascii="Arial" w:hAnsi="Arial" w:cs="Arial"/>
                            <w:b/>
                            <w:szCs w:val="22"/>
                          </w:rPr>
                          <w:t>Insulatard</w:t>
                        </w:r>
                      </w:p>
                    </w:tc>
                    <w:tc>
                      <w:tcPr>
                        <w:tcW w:w="180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6" w:space="0" w:color="000000"/>
                        </w:tcBorders>
                        <w:shd w:val="clear" w:color="auto" w:fill="8DB3E2"/>
                        <w:vAlign w:val="center"/>
                      </w:tcPr>
                      <w:p w:rsidR="00756993" w:rsidRPr="00064686" w:rsidRDefault="00756993" w:rsidP="00DC1B9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</w:rPr>
                        </w:pPr>
                        <w:r w:rsidRPr="00064686">
                          <w:rPr>
                            <w:rFonts w:ascii="Arial" w:hAnsi="Arial" w:cs="Arial"/>
                            <w:b/>
                            <w:szCs w:val="22"/>
                          </w:rPr>
                          <w:t>Lantus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CFFCC"/>
                        <w:vAlign w:val="center"/>
                      </w:tcPr>
                      <w:p w:rsidR="00756993" w:rsidRPr="00064686" w:rsidRDefault="00756993" w:rsidP="00DC1B9E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2"/>
                            <w:lang w:val="da-DK"/>
                          </w:rPr>
                        </w:pPr>
                        <w:r w:rsidRPr="00064686">
                          <w:rPr>
                            <w:rFonts w:ascii="Arial" w:hAnsi="Arial" w:cs="Arial"/>
                            <w:b/>
                            <w:szCs w:val="22"/>
                            <w:lang w:val="da-DK"/>
                          </w:rPr>
                          <w:t>Humulin M3</w:t>
                        </w:r>
                      </w:p>
                    </w:tc>
                  </w:tr>
                </w:tbl>
                <w:p w:rsidR="00756993" w:rsidRPr="00F41164" w:rsidRDefault="00756993">
                  <w:pPr>
                    <w:jc w:val="both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  <w:p w:rsidR="00756993" w:rsidRDefault="00756993" w:rsidP="00AC6C4E">
                  <w:pPr>
                    <w:overflowPunct/>
                    <w:autoSpaceDE/>
                    <w:autoSpaceDN/>
                    <w:adjustRightInd/>
                    <w:spacing w:before="200" w:after="80" w:line="360" w:lineRule="auto"/>
                    <w:ind w:left="142" w:right="170"/>
                    <w:jc w:val="both"/>
                    <w:textAlignment w:val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21C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The appropriate ward stock insulin can be prescribed and substituted on a uni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t-for-unit basis (except Toujeo and Xultophy</w:t>
                  </w:r>
                  <w:r w:rsidRPr="00C21C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– see below) with the patients usual insulin, u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ntil this can be supplied </w:t>
                  </w:r>
                  <w:r w:rsidRPr="00C21CA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or the patient can self administer their own insulin</w:t>
                  </w:r>
                  <w:r w:rsidRPr="00C21CA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756993" w:rsidRPr="00302B7C" w:rsidRDefault="00756993" w:rsidP="00C26088">
                  <w:pPr>
                    <w:pStyle w:val="ListParagraph"/>
                    <w:numPr>
                      <w:ilvl w:val="0"/>
                      <w:numId w:val="35"/>
                    </w:numPr>
                    <w:overflowPunct/>
                    <w:autoSpaceDE/>
                    <w:autoSpaceDN/>
                    <w:adjustRightInd/>
                    <w:spacing w:before="200" w:after="120" w:line="384" w:lineRule="auto"/>
                    <w:ind w:left="426" w:right="170" w:hanging="284"/>
                    <w:jc w:val="both"/>
                    <w:textAlignment w:val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2B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Toujeo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can be changed to</w:t>
                  </w:r>
                  <w:r w:rsidRPr="0061060F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Lantus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but the </w:t>
                  </w:r>
                  <w:r w:rsidRPr="00AC6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dose should be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61060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reduced by 20%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to reduce the risk of hypoglycaemia, with close monitoring of blood glucose.</w:t>
                  </w:r>
                </w:p>
                <w:p w:rsidR="00756993" w:rsidRPr="00302B7C" w:rsidRDefault="00756993" w:rsidP="00C26088">
                  <w:pPr>
                    <w:pStyle w:val="ListParagraph"/>
                    <w:numPr>
                      <w:ilvl w:val="0"/>
                      <w:numId w:val="35"/>
                    </w:numPr>
                    <w:overflowPunct/>
                    <w:autoSpaceDE/>
                    <w:autoSpaceDN/>
                    <w:adjustRightInd/>
                    <w:spacing w:after="40" w:line="384" w:lineRule="auto"/>
                    <w:ind w:left="426" w:right="170" w:hanging="284"/>
                    <w:jc w:val="both"/>
                    <w:textAlignment w:val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302B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Xultophy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administered as dose steps, e.g. one dose step will contain 1 unit of insulin Degludec and 0.036 mg of the GLP-1 Liraglutide. Patients on Xultophy can be prescribed Lantus on a </w:t>
                  </w:r>
                  <w:r w:rsidR="00AC6C4E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one dose step to one unit basis.</w:t>
                  </w:r>
                </w:p>
                <w:p w:rsidR="00756993" w:rsidRPr="00C26088" w:rsidRDefault="00756993" w:rsidP="00C26088">
                  <w:pPr>
                    <w:pStyle w:val="ListParagraph"/>
                    <w:numPr>
                      <w:ilvl w:val="0"/>
                      <w:numId w:val="35"/>
                    </w:numPr>
                    <w:overflowPunct/>
                    <w:autoSpaceDE/>
                    <w:autoSpaceDN/>
                    <w:adjustRightInd/>
                    <w:spacing w:line="396" w:lineRule="auto"/>
                    <w:ind w:left="426" w:right="170" w:hanging="284"/>
                    <w:jc w:val="both"/>
                    <w:textAlignment w:val="auto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02B7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Humalog 200 units/ml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Pr="00302B7C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can be changed unit for unit to Novorapid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.</w:t>
                  </w:r>
                </w:p>
                <w:p w:rsidR="00756993" w:rsidRPr="00302B7C" w:rsidRDefault="00756993" w:rsidP="00C26088">
                  <w:pPr>
                    <w:pStyle w:val="ListParagraph"/>
                    <w:numPr>
                      <w:ilvl w:val="0"/>
                      <w:numId w:val="35"/>
                    </w:numPr>
                    <w:spacing w:line="384" w:lineRule="auto"/>
                    <w:ind w:left="426" w:right="17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2B7C">
                    <w:rPr>
                      <w:rFonts w:ascii="Arial" w:hAnsi="Arial" w:cs="Arial"/>
                      <w:b/>
                      <w:sz w:val="18"/>
                      <w:szCs w:val="18"/>
                    </w:rPr>
                    <w:t>Non-human insulin preparations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302B7C">
                    <w:rPr>
                      <w:rFonts w:ascii="Arial" w:hAnsi="Arial" w:cs="Arial"/>
                      <w:sz w:val="18"/>
                      <w:szCs w:val="18"/>
                    </w:rPr>
                    <w:t>acceptable to receive a dose of the human equivalent insulin wit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 close monitoring of </w:t>
                  </w:r>
                  <w:r w:rsidRPr="00302B7C">
                    <w:rPr>
                      <w:rFonts w:ascii="Arial" w:hAnsi="Arial" w:cs="Arial"/>
                      <w:sz w:val="18"/>
                      <w:szCs w:val="18"/>
                    </w:rPr>
                    <w:t>blood glucose. However, the patient should get their normal non-human insulin preparation prescribed as soon as available.</w:t>
                  </w:r>
                </w:p>
                <w:p w:rsidR="00756993" w:rsidRPr="00634ECE" w:rsidRDefault="00756993" w:rsidP="0013230C">
                  <w:pPr>
                    <w:spacing w:before="180" w:after="140" w:line="360" w:lineRule="auto"/>
                    <w:ind w:left="142" w:right="1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21CA0">
                    <w:rPr>
                      <w:rFonts w:ascii="Arial" w:hAnsi="Arial" w:cs="Arial"/>
                      <w:b/>
                      <w:bCs/>
                      <w:sz w:val="20"/>
                    </w:rPr>
                    <w:t>Points to remember:</w:t>
                  </w:r>
                </w:p>
                <w:p w:rsidR="00756993" w:rsidRDefault="00756993" w:rsidP="001A2FA7">
                  <w:pPr>
                    <w:pStyle w:val="ListParagraph"/>
                    <w:numPr>
                      <w:ilvl w:val="0"/>
                      <w:numId w:val="34"/>
                    </w:numPr>
                    <w:spacing w:afterLines="120"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21CA0">
                    <w:rPr>
                      <w:rFonts w:ascii="Arial" w:hAnsi="Arial" w:cs="Arial"/>
                      <w:b/>
                      <w:sz w:val="18"/>
                      <w:szCs w:val="18"/>
                    </w:rPr>
                    <w:t>Insulin must be prescribed by BRAND name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756993" w:rsidRPr="0061060F" w:rsidRDefault="00756993" w:rsidP="001A2FA7">
                  <w:pPr>
                    <w:pStyle w:val="ListParagraph"/>
                    <w:numPr>
                      <w:ilvl w:val="0"/>
                      <w:numId w:val="34"/>
                    </w:numPr>
                    <w:spacing w:afterLines="120"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106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If patients require a supply of their own insulin, </w:t>
                  </w:r>
                  <w:r w:rsidRPr="0061060F"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  <w:t>order on an Individualised Patient Supply Form (IPS) from Pharmacy; t</w:t>
                  </w:r>
                  <w:r w:rsidRPr="0061060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his should be sent home with the patient on discharge. Until available follow above guidelines. </w:t>
                  </w:r>
                </w:p>
                <w:p w:rsidR="00756993" w:rsidRDefault="00756993" w:rsidP="001A2FA7">
                  <w:pPr>
                    <w:pStyle w:val="ListParagraph"/>
                    <w:numPr>
                      <w:ilvl w:val="0"/>
                      <w:numId w:val="34"/>
                    </w:numPr>
                    <w:spacing w:afterLines="120"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1060F">
                    <w:rPr>
                      <w:rFonts w:ascii="Arial" w:hAnsi="Arial" w:cs="Arial"/>
                      <w:b/>
                      <w:sz w:val="18"/>
                      <w:szCs w:val="18"/>
                    </w:rPr>
                    <w:t>There is NO need to write 'UNITS’ after the dose on th</w:t>
                  </w:r>
                  <w:r w:rsidR="001323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 insulin prescribing chart. </w:t>
                  </w:r>
                  <w:r w:rsidRPr="0061060F">
                    <w:rPr>
                      <w:rFonts w:ascii="Arial" w:hAnsi="Arial" w:cs="Arial"/>
                      <w:b/>
                      <w:sz w:val="18"/>
                      <w:szCs w:val="18"/>
                    </w:rPr>
                    <w:t>NEVER use the abbreviation ‘U’ or ‘IU’.</w:t>
                  </w:r>
                </w:p>
                <w:p w:rsidR="00756993" w:rsidRDefault="00756993" w:rsidP="001A2FA7">
                  <w:pPr>
                    <w:pStyle w:val="ListParagraph"/>
                    <w:numPr>
                      <w:ilvl w:val="0"/>
                      <w:numId w:val="34"/>
                    </w:numPr>
                    <w:spacing w:afterLines="120"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Before opening </w:t>
                  </w:r>
                  <w:r w:rsidR="001E7F4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all 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insulin </w:t>
                  </w:r>
                  <w:r w:rsidR="001E7F4A">
                    <w:rPr>
                      <w:rFonts w:ascii="Arial" w:hAnsi="Arial" w:cs="Arial"/>
                      <w:b/>
                      <w:sz w:val="18"/>
                      <w:szCs w:val="18"/>
                    </w:rPr>
                    <w:t>preparations</w:t>
                  </w:r>
                  <w:r w:rsidR="003551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should be stored in the fridge. O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nce open </w:t>
                  </w:r>
                  <w:r w:rsidR="003551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they are 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>stable at normal room temperature</w:t>
                  </w:r>
                  <w:r w:rsidR="003551DE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551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All insulin vials/pens should be marked with the date of first use and disposed of 4 weeks after opening. </w:t>
                  </w:r>
                </w:p>
                <w:p w:rsidR="00756993" w:rsidRPr="00756993" w:rsidRDefault="00756993" w:rsidP="001A2FA7">
                  <w:pPr>
                    <w:pStyle w:val="ListParagraph"/>
                    <w:numPr>
                      <w:ilvl w:val="0"/>
                      <w:numId w:val="34"/>
                    </w:numPr>
                    <w:spacing w:afterLines="120"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Under no circumstances</w:t>
                  </w:r>
                  <w:r w:rsidRPr="007569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should insulin be administered by nursing staff or district nurses via a pen device.  </w:t>
                  </w:r>
                </w:p>
                <w:p w:rsidR="00756993" w:rsidRPr="00C21CA0" w:rsidRDefault="00756993" w:rsidP="0013230C">
                  <w:pPr>
                    <w:pStyle w:val="ListParagraph"/>
                    <w:numPr>
                      <w:ilvl w:val="0"/>
                      <w:numId w:val="34"/>
                    </w:numPr>
                    <w:spacing w:line="396" w:lineRule="auto"/>
                    <w:ind w:left="426" w:hanging="284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21CA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Under no circumstances</w:t>
                  </w:r>
                  <w:r w:rsidRPr="00C21CA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should insulin be drawn up into a syringe from an insulin cartridge. </w:t>
                  </w:r>
                </w:p>
                <w:p w:rsidR="00756993" w:rsidRPr="00AC6C4E" w:rsidRDefault="00756993" w:rsidP="0013230C">
                  <w:pPr>
                    <w:numPr>
                      <w:ilvl w:val="0"/>
                      <w:numId w:val="34"/>
                    </w:numPr>
                    <w:overflowPunct/>
                    <w:autoSpaceDE/>
                    <w:autoSpaceDN/>
                    <w:adjustRightInd/>
                    <w:spacing w:after="40" w:line="372" w:lineRule="auto"/>
                    <w:ind w:left="426" w:hanging="284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6C4E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Please note at time of document review – Fiasp, Humalog 200units/ml, Tresiba, Toujeo and Xultophy are non-formulary and </w:t>
                  </w:r>
                  <w:r w:rsidR="00AC6C4E" w:rsidRPr="00AC6C4E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>therefore not</w:t>
                  </w:r>
                  <w:r w:rsidRPr="00AC6C4E"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  <w:t xml:space="preserve"> stocked by pharmacy</w:t>
                  </w:r>
                  <w:r w:rsidRPr="00AC6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="003551DE" w:rsidRPr="00AC6C4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756993" w:rsidRPr="00DC1B9E" w:rsidRDefault="00756993" w:rsidP="0013230C">
                  <w:pPr>
                    <w:numPr>
                      <w:ilvl w:val="0"/>
                      <w:numId w:val="34"/>
                    </w:numPr>
                    <w:overflowPunct/>
                    <w:autoSpaceDE/>
                    <w:autoSpaceDN/>
                    <w:adjustRightInd/>
                    <w:spacing w:after="40" w:line="372" w:lineRule="auto"/>
                    <w:ind w:left="426" w:hanging="284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1B9E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REMEMBER TO DISCHARGE THE PATIENT ON THEIR USUAL INSULIN IF THEY HAVE BEEN GIVEN A TEMPORARY ALTERNATIVE DURING THEIR IN-PATIENT STAY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Arial" w:hAnsi="Arial" w:cs="Arial"/>
                      <w:b/>
                      <w:szCs w:val="22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ahoma" w:hAnsi="Tahoma" w:cs="Tahoma"/>
                      <w:b/>
                      <w:szCs w:val="22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ahoma" w:hAnsi="Tahoma" w:cs="Tahoma"/>
                      <w:b/>
                      <w:szCs w:val="22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b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The following non-licensed rapid loading regimen has been accepted for local use.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Amiodarone 400mg three times daily for 6 days then,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reduce to maintenance therapy.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Maintenance therapy: the minimum effective dose should be used. After initial loading reduce to 200mg daily or less if appropriate.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ook w:val="00BE"/>
                  </w:tblPr>
                  <w:tblGrid>
                    <w:gridCol w:w="889"/>
                    <w:gridCol w:w="8354"/>
                  </w:tblGrid>
                  <w:tr w:rsidR="00756993">
                    <w:tc>
                      <w:tcPr>
                        <w:tcW w:w="889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  <w:b/>
                          </w:rPr>
                        </w:pPr>
                      </w:p>
                    </w:tc>
                    <w:tc>
                      <w:tcPr>
                        <w:tcW w:w="8354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  <w:color w:val="000080"/>
                          </w:rPr>
                        </w:pPr>
                      </w:p>
                    </w:tc>
                  </w:tr>
                  <w:tr w:rsidR="00756993">
                    <w:tc>
                      <w:tcPr>
                        <w:tcW w:w="889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354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756993">
                    <w:tc>
                      <w:tcPr>
                        <w:tcW w:w="889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8354" w:type="dxa"/>
                      </w:tcPr>
                      <w:p w:rsidR="00756993" w:rsidRDefault="00756993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  <w:color w:val="000080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Issue date:</w:t>
                  </w:r>
                  <w:r>
                    <w:rPr>
                      <w:rFonts w:ascii="Tahoma" w:hAnsi="Tahoma" w:cs="Tahoma"/>
                      <w:color w:val="000080"/>
                    </w:rPr>
                    <w:tab/>
                    <w:t>September 2006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000080"/>
                    </w:rPr>
                    <w:t>Review date:</w:t>
                  </w:r>
                  <w:r>
                    <w:rPr>
                      <w:rFonts w:ascii="Tahoma" w:hAnsi="Tahoma" w:cs="Tahoma"/>
                      <w:color w:val="000080"/>
                    </w:rPr>
                    <w:tab/>
                    <w:t>September 2008</w:t>
                  </w:r>
                  <w:r>
                    <w:rPr>
                      <w:rFonts w:ascii="Tahoma" w:hAnsi="Tahoma" w:cs="Tahoma"/>
                      <w:color w:val="000080"/>
                    </w:rPr>
                    <w:tab/>
                  </w:r>
                  <w:r>
                    <w:rPr>
                      <w:rFonts w:ascii="Tahoma" w:hAnsi="Tahoma" w:cs="Tahoma"/>
                      <w:color w:val="000080"/>
                    </w:rPr>
                    <w:tab/>
                  </w:r>
                  <w:r>
                    <w:rPr>
                      <w:rFonts w:ascii="Tahoma" w:hAnsi="Tahoma" w:cs="Tahoma"/>
                      <w:color w:val="000080"/>
                    </w:rPr>
                    <w:tab/>
                    <w:t>Endorsed by</w:t>
                  </w:r>
                  <w:r>
                    <w:rPr>
                      <w:rFonts w:ascii="Tahoma" w:hAnsi="Tahoma" w:cs="Tahoma"/>
                    </w:rPr>
                    <w:t>: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</w:p>
                <w:p w:rsidR="00756993" w:rsidRDefault="00756993">
                  <w:pPr>
                    <w:overflowPunct/>
                    <w:autoSpaceDE/>
                    <w:autoSpaceDN/>
                    <w:adjustRightInd/>
                    <w:ind w:left="284" w:hanging="284"/>
                    <w:textAlignment w:val="auto"/>
                    <w:rPr>
                      <w:rFonts w:ascii="Tahoma" w:hAnsi="Tahoma"/>
                      <w:color w:val="000080"/>
                    </w:rPr>
                  </w:pPr>
                  <w:r>
                    <w:rPr>
                      <w:rFonts w:ascii="Tahoma" w:hAnsi="Tahoma"/>
                      <w:color w:val="000080"/>
                    </w:rPr>
                    <w:t>Date</w:t>
                  </w:r>
                  <w:r>
                    <w:rPr>
                      <w:rFonts w:ascii="Tahoma" w:hAnsi="Tahoma"/>
                      <w:color w:val="000080"/>
                    </w:rPr>
                    <w:tab/>
                  </w:r>
                  <w:r>
                    <w:rPr>
                      <w:rFonts w:ascii="Tahoma" w:hAnsi="Tahoma"/>
                      <w:color w:val="000080"/>
                    </w:rPr>
                    <w:tab/>
                    <w:t>Month 2002</w:t>
                  </w:r>
                  <w:r>
                    <w:rPr>
                      <w:rFonts w:ascii="Tahoma" w:hAnsi="Tahoma"/>
                      <w:color w:val="000080"/>
                    </w:rPr>
                    <w:tab/>
                  </w:r>
                  <w:r>
                    <w:rPr>
                      <w:rFonts w:ascii="Tahoma" w:hAnsi="Tahoma"/>
                      <w:color w:val="000080"/>
                    </w:rPr>
                    <w:tab/>
                  </w:r>
                  <w:r>
                    <w:rPr>
                      <w:rFonts w:ascii="Tahoma" w:hAnsi="Tahoma"/>
                      <w:color w:val="000080"/>
                    </w:rPr>
                    <w:tab/>
                    <w:t xml:space="preserve"> </w:t>
                  </w:r>
                  <w:r>
                    <w:rPr>
                      <w:rFonts w:ascii="Tahoma" w:hAnsi="Tahoma"/>
                      <w:color w:val="000080"/>
                    </w:rPr>
                    <w:tab/>
                    <w:t xml:space="preserve">Endorsed by </w:t>
                  </w:r>
                </w:p>
                <w:p w:rsidR="00756993" w:rsidRDefault="0075699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/>
                      <w:color w:val="000080"/>
                    </w:rPr>
                    <w:t>Review Date</w:t>
                  </w:r>
                  <w:r>
                    <w:rPr>
                      <w:rFonts w:ascii="Tahoma" w:hAnsi="Tahoma"/>
                      <w:color w:val="000080"/>
                    </w:rPr>
                    <w:tab/>
                    <w:t>Month 2004</w:t>
                  </w:r>
                </w:p>
              </w:txbxContent>
            </v:textbox>
            <w10:wrap type="square"/>
          </v:shape>
        </w:pict>
      </w:r>
      <w:r w:rsidR="00566207" w:rsidRPr="00466B82">
        <w:rPr>
          <w:rFonts w:ascii="Arial" w:hAnsi="Arial" w:cs="Arial"/>
          <w:color w:val="00CCFF"/>
          <w:sz w:val="40"/>
          <w:szCs w:val="40"/>
        </w:rPr>
        <w:sym w:font="Symbol" w:char="F0B7"/>
      </w:r>
      <w:r w:rsidR="00466B82">
        <w:rPr>
          <w:rFonts w:ascii="Arial" w:hAnsi="Arial" w:cs="Arial"/>
          <w:color w:val="00CCFF"/>
          <w:sz w:val="40"/>
          <w:szCs w:val="40"/>
        </w:rPr>
        <w:t xml:space="preserve"> </w:t>
      </w:r>
      <w:r w:rsidR="0055045E" w:rsidRPr="00634ECE">
        <w:rPr>
          <w:rFonts w:ascii="Arial" w:hAnsi="Arial" w:cs="Arial"/>
          <w:sz w:val="28"/>
          <w:szCs w:val="28"/>
        </w:rPr>
        <w:t xml:space="preserve"> In-patient Insulin </w:t>
      </w:r>
      <w:r w:rsidR="00566207" w:rsidRPr="00634ECE">
        <w:rPr>
          <w:rFonts w:ascii="Arial" w:hAnsi="Arial" w:cs="Arial"/>
          <w:sz w:val="28"/>
          <w:szCs w:val="28"/>
        </w:rPr>
        <w:t>Use and Supply</w:t>
      </w:r>
      <w:r w:rsidR="0055045E" w:rsidRPr="0055045E">
        <w:rPr>
          <w:rFonts w:ascii="Arial" w:hAnsi="Arial" w:cs="Arial"/>
          <w:sz w:val="48"/>
          <w:szCs w:val="48"/>
        </w:rPr>
        <w:t xml:space="preserve"> </w:t>
      </w:r>
      <w:r w:rsidR="00566207" w:rsidRPr="00466B82">
        <w:rPr>
          <w:rFonts w:ascii="Arial" w:hAnsi="Arial" w:cs="Arial"/>
          <w:color w:val="00CCFF"/>
          <w:sz w:val="40"/>
          <w:szCs w:val="40"/>
        </w:rPr>
        <w:sym w:font="Symbol" w:char="F0B7"/>
      </w:r>
    </w:p>
    <w:sectPr w:rsidR="00566207" w:rsidRPr="00C21CA0" w:rsidSect="00611BCF">
      <w:headerReference w:type="first" r:id="rId8"/>
      <w:footerReference w:type="first" r:id="rId9"/>
      <w:pgSz w:w="11909" w:h="16834" w:code="9"/>
      <w:pgMar w:top="-567" w:right="397" w:bottom="266" w:left="397" w:header="284" w:footer="31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DEB" w:rsidRDefault="005F5DEB">
      <w:r>
        <w:separator/>
      </w:r>
    </w:p>
  </w:endnote>
  <w:endnote w:type="continuationSeparator" w:id="0">
    <w:p w:rsidR="005F5DEB" w:rsidRDefault="005F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3" w:rsidRDefault="00756993">
    <w:pPr>
      <w:pStyle w:val="Footer"/>
      <w:rPr>
        <w:rFonts w:ascii="Arial" w:hAnsi="Arial" w:cs="Arial"/>
        <w:sz w:val="14"/>
        <w:szCs w:val="14"/>
      </w:rPr>
    </w:pPr>
    <w:r w:rsidRPr="00F41164">
      <w:rPr>
        <w:rFonts w:ascii="Arial" w:hAnsi="Arial" w:cs="Arial"/>
        <w:sz w:val="14"/>
        <w:szCs w:val="14"/>
      </w:rPr>
      <w:t>Adapted with kind permission from NHS Fife</w:t>
    </w:r>
    <w:r>
      <w:rPr>
        <w:rFonts w:ascii="Arial" w:hAnsi="Arial" w:cs="Arial"/>
        <w:sz w:val="14"/>
        <w:szCs w:val="14"/>
      </w:rPr>
      <w:t xml:space="preserve">. </w:t>
    </w:r>
  </w:p>
  <w:p w:rsidR="00756993" w:rsidRDefault="00756993">
    <w:pPr>
      <w:pStyle w:val="Footer"/>
      <w:rPr>
        <w:rFonts w:ascii="Arial" w:hAnsi="Arial" w:cs="Arial"/>
        <w:sz w:val="14"/>
        <w:szCs w:val="14"/>
      </w:rPr>
    </w:pPr>
    <w:r w:rsidRPr="00F41164">
      <w:rPr>
        <w:rFonts w:ascii="Arial" w:hAnsi="Arial" w:cs="Arial"/>
        <w:sz w:val="14"/>
        <w:szCs w:val="14"/>
      </w:rPr>
      <w:t>Authors: MR/JB/GF</w:t>
    </w:r>
  </w:p>
  <w:p w:rsidR="00756993" w:rsidRDefault="00756993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Approved by:</w:t>
    </w:r>
    <w:r w:rsidR="00AC6C4E">
      <w:rPr>
        <w:rFonts w:ascii="Arial" w:hAnsi="Arial" w:cs="Arial"/>
        <w:sz w:val="14"/>
        <w:szCs w:val="14"/>
      </w:rPr>
      <w:t xml:space="preserve"> NHS Lothian Drug and Therapeutics Committee, Sept 2017</w:t>
    </w:r>
    <w:r>
      <w:rPr>
        <w:rFonts w:ascii="Arial" w:hAnsi="Arial" w:cs="Arial"/>
        <w:sz w:val="14"/>
        <w:szCs w:val="14"/>
      </w:rPr>
      <w:tab/>
    </w:r>
  </w:p>
  <w:p w:rsidR="00756993" w:rsidRPr="003A424C" w:rsidRDefault="00756993">
    <w:pPr>
      <w:pStyle w:val="Footer"/>
      <w:rPr>
        <w:sz w:val="14"/>
        <w:szCs w:val="14"/>
      </w:rPr>
    </w:pPr>
    <w:r w:rsidRPr="00F41164">
      <w:rPr>
        <w:rFonts w:ascii="Arial" w:hAnsi="Arial" w:cs="Arial"/>
        <w:sz w:val="14"/>
        <w:szCs w:val="14"/>
      </w:rPr>
      <w:t>Minimum review date after appr</w:t>
    </w:r>
    <w:r w:rsidR="00AC6C4E">
      <w:rPr>
        <w:rFonts w:ascii="Arial" w:hAnsi="Arial" w:cs="Arial"/>
        <w:sz w:val="14"/>
        <w:szCs w:val="14"/>
      </w:rPr>
      <w:t>oval: Sept 2019</w:t>
    </w:r>
    <w:r w:rsidRPr="00F41164">
      <w:rPr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DEB" w:rsidRDefault="005F5DEB">
      <w:r>
        <w:separator/>
      </w:r>
    </w:p>
  </w:footnote>
  <w:footnote w:type="continuationSeparator" w:id="0">
    <w:p w:rsidR="005F5DEB" w:rsidRDefault="005F5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93" w:rsidRDefault="00756993" w:rsidP="0055045E">
    <w:pPr>
      <w:pStyle w:val="Header"/>
    </w:pPr>
    <w:r>
      <w:tab/>
      <w:t xml:space="preserve">          </w:t>
    </w:r>
    <w:r>
      <w:tab/>
    </w:r>
    <w:r>
      <w:tab/>
    </w:r>
    <w:r>
      <w:tab/>
    </w:r>
    <w:r>
      <w:object w:dxaOrig="1785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5pt" o:ole="">
          <v:imagedata r:id="rId1" o:title=""/>
        </v:shape>
        <o:OLEObject Type="Embed" ProgID="MSPhotoEd.3" ShapeID="_x0000_i1025" DrawAspect="Content" ObjectID="_156620264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FC2"/>
    <w:multiLevelType w:val="hybridMultilevel"/>
    <w:tmpl w:val="8CB0A946"/>
    <w:lvl w:ilvl="0" w:tplc="EA787D4E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0FD5"/>
    <w:multiLevelType w:val="hybridMultilevel"/>
    <w:tmpl w:val="4636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1F26"/>
    <w:multiLevelType w:val="multilevel"/>
    <w:tmpl w:val="3B64D08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1">
      <w:start w:val="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128B065A"/>
    <w:multiLevelType w:val="singleLevel"/>
    <w:tmpl w:val="CB4CCB00"/>
    <w:lvl w:ilvl="0">
      <w:start w:val="16"/>
      <w:numFmt w:val="decimal"/>
      <w:lvlText w:val="%1."/>
      <w:lvlJc w:val="left"/>
      <w:pPr>
        <w:tabs>
          <w:tab w:val="num" w:pos="1437"/>
        </w:tabs>
        <w:ind w:left="1437" w:hanging="915"/>
      </w:pPr>
      <w:rPr>
        <w:rFonts w:hint="default"/>
      </w:rPr>
    </w:lvl>
  </w:abstractNum>
  <w:abstractNum w:abstractNumId="4">
    <w:nsid w:val="18C27152"/>
    <w:multiLevelType w:val="hybridMultilevel"/>
    <w:tmpl w:val="380A5710"/>
    <w:lvl w:ilvl="0" w:tplc="44607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7F40A3"/>
    <w:multiLevelType w:val="hybridMultilevel"/>
    <w:tmpl w:val="15524BB0"/>
    <w:lvl w:ilvl="0" w:tplc="4460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5FF6"/>
    <w:multiLevelType w:val="multilevel"/>
    <w:tmpl w:val="11A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719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7">
    <w:nsid w:val="1A625801"/>
    <w:multiLevelType w:val="hybridMultilevel"/>
    <w:tmpl w:val="C82834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AAACE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AAD0FB8"/>
    <w:multiLevelType w:val="hybridMultilevel"/>
    <w:tmpl w:val="7FFE9D70"/>
    <w:lvl w:ilvl="0" w:tplc="4460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A009F"/>
    <w:multiLevelType w:val="hybridMultilevel"/>
    <w:tmpl w:val="276224D0"/>
    <w:lvl w:ilvl="0" w:tplc="85E65C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855FA"/>
    <w:multiLevelType w:val="hybridMultilevel"/>
    <w:tmpl w:val="3DB0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77287"/>
    <w:multiLevelType w:val="hybridMultilevel"/>
    <w:tmpl w:val="B2F85186"/>
    <w:lvl w:ilvl="0" w:tplc="FA182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EA3A41"/>
    <w:multiLevelType w:val="multilevel"/>
    <w:tmpl w:val="2A4AE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2"/>
      </w:rPr>
    </w:lvl>
  </w:abstractNum>
  <w:abstractNum w:abstractNumId="13">
    <w:nsid w:val="2A761F69"/>
    <w:multiLevelType w:val="singleLevel"/>
    <w:tmpl w:val="2174E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2D246BAB"/>
    <w:multiLevelType w:val="singleLevel"/>
    <w:tmpl w:val="903EFE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16"/>
      </w:rPr>
    </w:lvl>
  </w:abstractNum>
  <w:abstractNum w:abstractNumId="15">
    <w:nsid w:val="31694ACD"/>
    <w:multiLevelType w:val="multilevel"/>
    <w:tmpl w:val="9AC4FC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036A5"/>
    <w:multiLevelType w:val="hybridMultilevel"/>
    <w:tmpl w:val="2954076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32966B2C"/>
    <w:multiLevelType w:val="multilevel"/>
    <w:tmpl w:val="11A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719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18">
    <w:nsid w:val="34C827A2"/>
    <w:multiLevelType w:val="hybridMultilevel"/>
    <w:tmpl w:val="E79293F4"/>
    <w:lvl w:ilvl="0" w:tplc="4460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15E69"/>
    <w:multiLevelType w:val="hybridMultilevel"/>
    <w:tmpl w:val="4C3E7BC0"/>
    <w:lvl w:ilvl="0" w:tplc="72105E62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5F416C"/>
    <w:multiLevelType w:val="multilevel"/>
    <w:tmpl w:val="11A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719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21">
    <w:nsid w:val="3B044BC6"/>
    <w:multiLevelType w:val="hybridMultilevel"/>
    <w:tmpl w:val="700A9B7E"/>
    <w:lvl w:ilvl="0" w:tplc="44607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3D75739E"/>
    <w:multiLevelType w:val="multilevel"/>
    <w:tmpl w:val="AAD2E46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D665D3"/>
    <w:multiLevelType w:val="multilevel"/>
    <w:tmpl w:val="11A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719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24">
    <w:nsid w:val="435846DD"/>
    <w:multiLevelType w:val="multilevel"/>
    <w:tmpl w:val="11AC6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1719F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25">
    <w:nsid w:val="470B42E5"/>
    <w:multiLevelType w:val="multilevel"/>
    <w:tmpl w:val="11AC6B44"/>
    <w:lvl w:ilvl="0">
      <w:start w:val="1"/>
      <w:numFmt w:val="none"/>
      <w:lvlText w:val=""/>
      <w:legacy w:legacy="1" w:legacySpace="120" w:legacyIndent="357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1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7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3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9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5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1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7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37" w:hanging="360"/>
      </w:pPr>
      <w:rPr>
        <w:rFonts w:ascii="Wingdings" w:hAnsi="Wingdings" w:hint="default"/>
      </w:rPr>
    </w:lvl>
  </w:abstractNum>
  <w:abstractNum w:abstractNumId="26">
    <w:nsid w:val="4D563322"/>
    <w:multiLevelType w:val="hybridMultilevel"/>
    <w:tmpl w:val="9BB6320A"/>
    <w:lvl w:ilvl="0" w:tplc="17D214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1719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6937B1"/>
    <w:multiLevelType w:val="hybridMultilevel"/>
    <w:tmpl w:val="6BFE6184"/>
    <w:lvl w:ilvl="0" w:tplc="AAAAC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410E36"/>
    <w:multiLevelType w:val="multilevel"/>
    <w:tmpl w:val="A7B0A7BE"/>
    <w:lvl w:ilvl="0">
      <w:start w:val="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tabs>
          <w:tab w:val="num" w:pos="1035"/>
        </w:tabs>
        <w:ind w:left="1035" w:hanging="10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9">
    <w:nsid w:val="60DE686E"/>
    <w:multiLevelType w:val="hybridMultilevel"/>
    <w:tmpl w:val="4740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780E32"/>
    <w:multiLevelType w:val="hybridMultilevel"/>
    <w:tmpl w:val="88C2F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F25C5D"/>
    <w:multiLevelType w:val="hybridMultilevel"/>
    <w:tmpl w:val="BEF65ABC"/>
    <w:lvl w:ilvl="0" w:tplc="67CEC4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C31EB5"/>
    <w:multiLevelType w:val="hybridMultilevel"/>
    <w:tmpl w:val="7B2E280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98A68A5"/>
    <w:multiLevelType w:val="hybridMultilevel"/>
    <w:tmpl w:val="A58A48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A0F667E"/>
    <w:multiLevelType w:val="hybridMultilevel"/>
    <w:tmpl w:val="5954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0"/>
  </w:num>
  <w:num w:numId="4">
    <w:abstractNumId w:val="26"/>
  </w:num>
  <w:num w:numId="5">
    <w:abstractNumId w:val="6"/>
  </w:num>
  <w:num w:numId="6">
    <w:abstractNumId w:val="17"/>
  </w:num>
  <w:num w:numId="7">
    <w:abstractNumId w:val="23"/>
  </w:num>
  <w:num w:numId="8">
    <w:abstractNumId w:val="7"/>
  </w:num>
  <w:num w:numId="9">
    <w:abstractNumId w:val="33"/>
  </w:num>
  <w:num w:numId="10">
    <w:abstractNumId w:val="27"/>
  </w:num>
  <w:num w:numId="11">
    <w:abstractNumId w:val="32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28"/>
  </w:num>
  <w:num w:numId="17">
    <w:abstractNumId w:val="22"/>
  </w:num>
  <w:num w:numId="18">
    <w:abstractNumId w:val="15"/>
  </w:num>
  <w:num w:numId="19">
    <w:abstractNumId w:val="0"/>
  </w:num>
  <w:num w:numId="20">
    <w:abstractNumId w:val="19"/>
  </w:num>
  <w:num w:numId="21">
    <w:abstractNumId w:val="11"/>
  </w:num>
  <w:num w:numId="22">
    <w:abstractNumId w:val="13"/>
  </w:num>
  <w:num w:numId="23">
    <w:abstractNumId w:val="3"/>
  </w:num>
  <w:num w:numId="24">
    <w:abstractNumId w:val="14"/>
  </w:num>
  <w:num w:numId="25">
    <w:abstractNumId w:val="31"/>
  </w:num>
  <w:num w:numId="26">
    <w:abstractNumId w:val="29"/>
  </w:num>
  <w:num w:numId="27">
    <w:abstractNumId w:val="18"/>
  </w:num>
  <w:num w:numId="28">
    <w:abstractNumId w:val="4"/>
  </w:num>
  <w:num w:numId="29">
    <w:abstractNumId w:val="30"/>
  </w:num>
  <w:num w:numId="30">
    <w:abstractNumId w:val="1"/>
  </w:num>
  <w:num w:numId="31">
    <w:abstractNumId w:val="5"/>
  </w:num>
  <w:num w:numId="32">
    <w:abstractNumId w:val="8"/>
  </w:num>
  <w:num w:numId="33">
    <w:abstractNumId w:val="16"/>
  </w:num>
  <w:num w:numId="34">
    <w:abstractNumId w:val="2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6866">
      <o:colormru v:ext="edit" colors="#71719f,#99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497D"/>
    <w:rsid w:val="0002256F"/>
    <w:rsid w:val="00036576"/>
    <w:rsid w:val="000514B1"/>
    <w:rsid w:val="00064686"/>
    <w:rsid w:val="0009658C"/>
    <w:rsid w:val="0009759A"/>
    <w:rsid w:val="000C7565"/>
    <w:rsid w:val="0013230C"/>
    <w:rsid w:val="001A2FA7"/>
    <w:rsid w:val="001B3F3F"/>
    <w:rsid w:val="001D50E7"/>
    <w:rsid w:val="001D5208"/>
    <w:rsid w:val="001E7F4A"/>
    <w:rsid w:val="00214626"/>
    <w:rsid w:val="00224270"/>
    <w:rsid w:val="002530F0"/>
    <w:rsid w:val="0026763C"/>
    <w:rsid w:val="002F59F8"/>
    <w:rsid w:val="00302B7C"/>
    <w:rsid w:val="0033211C"/>
    <w:rsid w:val="003551DE"/>
    <w:rsid w:val="003A424C"/>
    <w:rsid w:val="003F45BB"/>
    <w:rsid w:val="004358FE"/>
    <w:rsid w:val="00466B82"/>
    <w:rsid w:val="0047311B"/>
    <w:rsid w:val="00474418"/>
    <w:rsid w:val="00492A46"/>
    <w:rsid w:val="004A1E7E"/>
    <w:rsid w:val="004D352B"/>
    <w:rsid w:val="00517EE6"/>
    <w:rsid w:val="00537BB3"/>
    <w:rsid w:val="0054448E"/>
    <w:rsid w:val="005466A1"/>
    <w:rsid w:val="00546C9B"/>
    <w:rsid w:val="0055045E"/>
    <w:rsid w:val="00566207"/>
    <w:rsid w:val="005B4B4E"/>
    <w:rsid w:val="005C5F2A"/>
    <w:rsid w:val="005D1068"/>
    <w:rsid w:val="005D2EBC"/>
    <w:rsid w:val="005F5DEB"/>
    <w:rsid w:val="0061060F"/>
    <w:rsid w:val="00611BCF"/>
    <w:rsid w:val="00634ECE"/>
    <w:rsid w:val="00636E68"/>
    <w:rsid w:val="0065171E"/>
    <w:rsid w:val="00683275"/>
    <w:rsid w:val="00691C37"/>
    <w:rsid w:val="006F29FB"/>
    <w:rsid w:val="00746C68"/>
    <w:rsid w:val="00756993"/>
    <w:rsid w:val="00777F62"/>
    <w:rsid w:val="007879DA"/>
    <w:rsid w:val="007B07FC"/>
    <w:rsid w:val="007D5CA8"/>
    <w:rsid w:val="007F381B"/>
    <w:rsid w:val="007F4F7F"/>
    <w:rsid w:val="007F5641"/>
    <w:rsid w:val="00810D2C"/>
    <w:rsid w:val="00811AE0"/>
    <w:rsid w:val="0085100D"/>
    <w:rsid w:val="00881CD9"/>
    <w:rsid w:val="00882AE1"/>
    <w:rsid w:val="008D16EC"/>
    <w:rsid w:val="009057A1"/>
    <w:rsid w:val="009069DA"/>
    <w:rsid w:val="009254B9"/>
    <w:rsid w:val="00925901"/>
    <w:rsid w:val="009262A1"/>
    <w:rsid w:val="009341A6"/>
    <w:rsid w:val="00937846"/>
    <w:rsid w:val="009935E8"/>
    <w:rsid w:val="00A44A9F"/>
    <w:rsid w:val="00A6046B"/>
    <w:rsid w:val="00A6152B"/>
    <w:rsid w:val="00A8701F"/>
    <w:rsid w:val="00AC1449"/>
    <w:rsid w:val="00AC6C4E"/>
    <w:rsid w:val="00AE2516"/>
    <w:rsid w:val="00B11D17"/>
    <w:rsid w:val="00B40832"/>
    <w:rsid w:val="00B54BAF"/>
    <w:rsid w:val="00B76E07"/>
    <w:rsid w:val="00B84D39"/>
    <w:rsid w:val="00B9407C"/>
    <w:rsid w:val="00BB4A41"/>
    <w:rsid w:val="00BF7C8F"/>
    <w:rsid w:val="00C07303"/>
    <w:rsid w:val="00C21CA0"/>
    <w:rsid w:val="00C26088"/>
    <w:rsid w:val="00C47FFD"/>
    <w:rsid w:val="00CD584C"/>
    <w:rsid w:val="00CE4A54"/>
    <w:rsid w:val="00D21D4B"/>
    <w:rsid w:val="00DC1B9E"/>
    <w:rsid w:val="00E22E66"/>
    <w:rsid w:val="00E324D1"/>
    <w:rsid w:val="00EB49F3"/>
    <w:rsid w:val="00F30678"/>
    <w:rsid w:val="00F41164"/>
    <w:rsid w:val="00F4338B"/>
    <w:rsid w:val="00F55C42"/>
    <w:rsid w:val="00F7497D"/>
    <w:rsid w:val="00FA29D4"/>
    <w:rsid w:val="00FE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71719f,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46B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2"/>
      <w:lang w:eastAsia="en-US"/>
    </w:rPr>
  </w:style>
  <w:style w:type="paragraph" w:styleId="Heading1">
    <w:name w:val="heading 1"/>
    <w:basedOn w:val="Normal"/>
    <w:next w:val="Normal"/>
    <w:qFormat/>
    <w:rsid w:val="00A6046B"/>
    <w:pPr>
      <w:keepNext/>
      <w:tabs>
        <w:tab w:val="left" w:pos="426"/>
      </w:tabs>
      <w:jc w:val="center"/>
      <w:outlineLvl w:val="0"/>
    </w:pPr>
    <w:rPr>
      <w:rFonts w:ascii="Tahoma" w:hAnsi="Tahoma"/>
      <w:b/>
      <w:color w:val="000080"/>
      <w:sz w:val="24"/>
    </w:rPr>
  </w:style>
  <w:style w:type="paragraph" w:styleId="Heading2">
    <w:name w:val="heading 2"/>
    <w:basedOn w:val="Normal"/>
    <w:next w:val="Normal"/>
    <w:qFormat/>
    <w:rsid w:val="00A6046B"/>
    <w:pPr>
      <w:keepNext/>
      <w:tabs>
        <w:tab w:val="left" w:pos="9000"/>
      </w:tabs>
      <w:jc w:val="center"/>
      <w:outlineLvl w:val="1"/>
    </w:pPr>
    <w:rPr>
      <w:rFonts w:ascii="Tahoma" w:hAnsi="Tahoma"/>
      <w:b/>
      <w:bCs/>
      <w:sz w:val="24"/>
    </w:rPr>
  </w:style>
  <w:style w:type="paragraph" w:styleId="Heading3">
    <w:name w:val="heading 3"/>
    <w:basedOn w:val="Normal"/>
    <w:next w:val="Normal"/>
    <w:qFormat/>
    <w:rsid w:val="00A6046B"/>
    <w:pPr>
      <w:keepNext/>
      <w:outlineLvl w:val="2"/>
    </w:pPr>
    <w:rPr>
      <w:rFonts w:ascii="Tahoma" w:hAnsi="Tahoma" w:cs="Tahoma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A6046B"/>
    <w:pPr>
      <w:keepNext/>
      <w:outlineLvl w:val="3"/>
    </w:pPr>
    <w:rPr>
      <w:rFonts w:ascii="Tahoma" w:hAnsi="Tahoma" w:cs="Tahoma"/>
      <w:b/>
      <w:bCs/>
      <w:sz w:val="24"/>
    </w:rPr>
  </w:style>
  <w:style w:type="paragraph" w:styleId="Heading5">
    <w:name w:val="heading 5"/>
    <w:basedOn w:val="Normal"/>
    <w:next w:val="Normal"/>
    <w:qFormat/>
    <w:rsid w:val="00A6046B"/>
    <w:pPr>
      <w:keepNext/>
      <w:outlineLvl w:val="4"/>
    </w:pPr>
    <w:rPr>
      <w:rFonts w:ascii="Tahoma" w:hAnsi="Tahoma" w:cs="Tahoma"/>
      <w:b/>
      <w:bCs/>
      <w:color w:val="000080"/>
      <w:sz w:val="24"/>
    </w:rPr>
  </w:style>
  <w:style w:type="paragraph" w:styleId="Heading6">
    <w:name w:val="heading 6"/>
    <w:basedOn w:val="Normal"/>
    <w:next w:val="Normal"/>
    <w:qFormat/>
    <w:rsid w:val="00A6046B"/>
    <w:pPr>
      <w:keepNext/>
      <w:tabs>
        <w:tab w:val="left" w:pos="426"/>
      </w:tabs>
      <w:outlineLvl w:val="5"/>
    </w:pPr>
    <w:rPr>
      <w:rFonts w:ascii="Tahoma" w:hAnsi="Tahoma" w:cs="Tahoma"/>
      <w:b/>
      <w:bCs/>
      <w:color w:val="333333"/>
      <w:sz w:val="28"/>
    </w:rPr>
  </w:style>
  <w:style w:type="paragraph" w:styleId="Heading7">
    <w:name w:val="heading 7"/>
    <w:basedOn w:val="Normal"/>
    <w:next w:val="Normal"/>
    <w:qFormat/>
    <w:rsid w:val="00A604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604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6046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046B"/>
    <w:pPr>
      <w:framePr w:w="7920" w:h="1980" w:hRule="exact" w:hSpace="180" w:wrap="auto" w:hAnchor="page" w:xAlign="center" w:yAlign="bottom"/>
      <w:ind w:left="2880"/>
    </w:pPr>
    <w:rPr>
      <w:rFonts w:ascii="Tempus Sans ITC" w:hAnsi="Tempus Sans ITC"/>
      <w:sz w:val="24"/>
    </w:rPr>
  </w:style>
  <w:style w:type="paragraph" w:styleId="Header">
    <w:name w:val="header"/>
    <w:basedOn w:val="Normal"/>
    <w:rsid w:val="00A604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4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6046B"/>
    <w:pPr>
      <w:tabs>
        <w:tab w:val="left" w:pos="1701"/>
        <w:tab w:val="left" w:pos="5103"/>
        <w:tab w:val="left" w:pos="5529"/>
      </w:tabs>
    </w:pPr>
    <w:rPr>
      <w:rFonts w:ascii="Tahoma" w:hAnsi="Tahoma"/>
      <w:b/>
      <w:bCs/>
      <w:i/>
      <w:iCs/>
    </w:rPr>
  </w:style>
  <w:style w:type="paragraph" w:styleId="BodyText3">
    <w:name w:val="Body Text 3"/>
    <w:basedOn w:val="Normal"/>
    <w:rsid w:val="00A6046B"/>
    <w:pPr>
      <w:tabs>
        <w:tab w:val="left" w:pos="567"/>
        <w:tab w:val="left" w:pos="851"/>
        <w:tab w:val="left" w:pos="9000"/>
      </w:tabs>
    </w:pPr>
    <w:rPr>
      <w:rFonts w:ascii="Tahoma" w:hAnsi="Tahoma" w:cs="Tahoma"/>
      <w:sz w:val="16"/>
    </w:rPr>
  </w:style>
  <w:style w:type="paragraph" w:styleId="BodyText2">
    <w:name w:val="Body Text 2"/>
    <w:basedOn w:val="Normal"/>
    <w:rsid w:val="00A6046B"/>
    <w:rPr>
      <w:rFonts w:ascii="Tahoma" w:hAnsi="Tahoma" w:cs="Tahoma"/>
      <w:sz w:val="24"/>
    </w:rPr>
  </w:style>
  <w:style w:type="paragraph" w:styleId="BodyTextIndent3">
    <w:name w:val="Body Text Indent 3"/>
    <w:basedOn w:val="Normal"/>
    <w:rsid w:val="00A6046B"/>
    <w:pPr>
      <w:spacing w:after="120"/>
      <w:ind w:left="283"/>
    </w:pPr>
    <w:rPr>
      <w:sz w:val="16"/>
      <w:szCs w:val="16"/>
    </w:rPr>
  </w:style>
  <w:style w:type="paragraph" w:customStyle="1" w:styleId="TxBrp3">
    <w:name w:val="TxBr_p3"/>
    <w:basedOn w:val="Normal"/>
    <w:rsid w:val="00A6046B"/>
    <w:pPr>
      <w:tabs>
        <w:tab w:val="left" w:pos="204"/>
      </w:tabs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4">
    <w:name w:val="TxBr_p4"/>
    <w:basedOn w:val="Normal"/>
    <w:rsid w:val="00A6046B"/>
    <w:pPr>
      <w:overflowPunct/>
      <w:autoSpaceDE/>
      <w:autoSpaceDN/>
      <w:adjustRightInd/>
      <w:spacing w:line="425" w:lineRule="atLeast"/>
      <w:ind w:left="1667" w:hanging="368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2">
    <w:name w:val="TxBr_p2"/>
    <w:basedOn w:val="Normal"/>
    <w:rsid w:val="00A6046B"/>
    <w:pPr>
      <w:tabs>
        <w:tab w:val="left" w:pos="204"/>
      </w:tabs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1">
    <w:name w:val="TxBr_p1"/>
    <w:basedOn w:val="Normal"/>
    <w:rsid w:val="00A6046B"/>
    <w:pPr>
      <w:tabs>
        <w:tab w:val="left" w:pos="204"/>
      </w:tabs>
      <w:overflowPunct/>
      <w:autoSpaceDE/>
      <w:autoSpaceDN/>
      <w:adjustRightInd/>
      <w:spacing w:line="277" w:lineRule="atLeast"/>
      <w:textAlignment w:val="auto"/>
    </w:pPr>
    <w:rPr>
      <w:rFonts w:ascii="Times New Roman" w:hAnsi="Times New Roman"/>
      <w:snapToGrid w:val="0"/>
      <w:sz w:val="24"/>
    </w:rPr>
  </w:style>
  <w:style w:type="paragraph" w:styleId="BodyTextIndent">
    <w:name w:val="Body Text Indent"/>
    <w:basedOn w:val="Normal"/>
    <w:rsid w:val="00A6046B"/>
    <w:pPr>
      <w:spacing w:after="120"/>
      <w:ind w:left="283"/>
    </w:pPr>
  </w:style>
  <w:style w:type="paragraph" w:customStyle="1" w:styleId="TxBrc1">
    <w:name w:val="TxBr_c1"/>
    <w:basedOn w:val="Normal"/>
    <w:rsid w:val="00A6046B"/>
    <w:pPr>
      <w:overflowPunct/>
      <w:autoSpaceDE/>
      <w:autoSpaceDN/>
      <w:adjustRightInd/>
      <w:spacing w:line="240" w:lineRule="atLeast"/>
      <w:jc w:val="center"/>
      <w:textAlignment w:val="auto"/>
    </w:pPr>
    <w:rPr>
      <w:rFonts w:ascii="Times New Roman" w:hAnsi="Times New Roman"/>
      <w:snapToGrid w:val="0"/>
      <w:sz w:val="24"/>
    </w:rPr>
  </w:style>
  <w:style w:type="character" w:styleId="Hyperlink">
    <w:name w:val="Hyperlink"/>
    <w:basedOn w:val="DefaultParagraphFont"/>
    <w:rsid w:val="00A6046B"/>
    <w:rPr>
      <w:color w:val="0000FF"/>
      <w:u w:val="single"/>
    </w:rPr>
  </w:style>
  <w:style w:type="paragraph" w:customStyle="1" w:styleId="TxBrp5">
    <w:name w:val="TxBr_p5"/>
    <w:basedOn w:val="Normal"/>
    <w:rsid w:val="00A6046B"/>
    <w:pPr>
      <w:tabs>
        <w:tab w:val="left" w:pos="1405"/>
      </w:tabs>
      <w:overflowPunct/>
      <w:autoSpaceDE/>
      <w:autoSpaceDN/>
      <w:adjustRightInd/>
      <w:spacing w:line="226" w:lineRule="atLeast"/>
      <w:ind w:left="375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6">
    <w:name w:val="TxBr_p6"/>
    <w:basedOn w:val="Normal"/>
    <w:rsid w:val="00A6046B"/>
    <w:pPr>
      <w:tabs>
        <w:tab w:val="left" w:pos="1009"/>
      </w:tabs>
      <w:overflowPunct/>
      <w:autoSpaceDE/>
      <w:autoSpaceDN/>
      <w:adjustRightInd/>
      <w:spacing w:line="277" w:lineRule="atLeast"/>
      <w:ind w:left="22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t2">
    <w:name w:val="TxBr_t2"/>
    <w:basedOn w:val="Normal"/>
    <w:rsid w:val="00A6046B"/>
    <w:pPr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t10">
    <w:name w:val="TxBr_t10"/>
    <w:basedOn w:val="Normal"/>
    <w:rsid w:val="00A6046B"/>
    <w:pPr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11">
    <w:name w:val="TxBr_p11"/>
    <w:basedOn w:val="Normal"/>
    <w:rsid w:val="00A6046B"/>
    <w:pPr>
      <w:tabs>
        <w:tab w:val="left" w:pos="793"/>
        <w:tab w:val="left" w:pos="1269"/>
      </w:tabs>
      <w:overflowPunct/>
      <w:autoSpaceDE/>
      <w:autoSpaceDN/>
      <w:adjustRightInd/>
      <w:spacing w:line="255" w:lineRule="atLeast"/>
      <w:ind w:left="1270" w:hanging="476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14">
    <w:name w:val="TxBr_p14"/>
    <w:basedOn w:val="Normal"/>
    <w:rsid w:val="00A6046B"/>
    <w:pPr>
      <w:tabs>
        <w:tab w:val="left" w:pos="935"/>
      </w:tabs>
      <w:overflowPunct/>
      <w:autoSpaceDE/>
      <w:autoSpaceDN/>
      <w:adjustRightInd/>
      <w:spacing w:line="240" w:lineRule="atLeast"/>
      <w:ind w:left="1327" w:hanging="391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t7">
    <w:name w:val="TxBr_t7"/>
    <w:basedOn w:val="Normal"/>
    <w:rsid w:val="00A6046B"/>
    <w:pPr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t8">
    <w:name w:val="TxBr_t8"/>
    <w:basedOn w:val="Normal"/>
    <w:rsid w:val="00A6046B"/>
    <w:pPr>
      <w:overflowPunct/>
      <w:autoSpaceDE/>
      <w:autoSpaceDN/>
      <w:adjustRightInd/>
      <w:spacing w:line="240" w:lineRule="atLeast"/>
      <w:textAlignment w:val="auto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rsid w:val="00A6046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eastAsia="Arial Unicode MS" w:hAnsi="Arial" w:cs="Arial"/>
      <w:color w:val="002963"/>
      <w:sz w:val="16"/>
      <w:szCs w:val="16"/>
    </w:rPr>
  </w:style>
  <w:style w:type="paragraph" w:customStyle="1" w:styleId="TxBrc2">
    <w:name w:val="TxBr_c2"/>
    <w:basedOn w:val="Normal"/>
    <w:rsid w:val="00A6046B"/>
    <w:pPr>
      <w:overflowPunct/>
      <w:autoSpaceDE/>
      <w:autoSpaceDN/>
      <w:adjustRightInd/>
      <w:spacing w:line="240" w:lineRule="atLeast"/>
      <w:jc w:val="center"/>
      <w:textAlignment w:val="auto"/>
    </w:pPr>
    <w:rPr>
      <w:rFonts w:ascii="Times New Roman" w:hAnsi="Times New Roman"/>
      <w:snapToGrid w:val="0"/>
      <w:sz w:val="24"/>
    </w:rPr>
  </w:style>
  <w:style w:type="paragraph" w:customStyle="1" w:styleId="TxBrp10">
    <w:name w:val="TxBr_p10"/>
    <w:basedOn w:val="Normal"/>
    <w:rsid w:val="00A6046B"/>
    <w:pPr>
      <w:tabs>
        <w:tab w:val="left" w:pos="521"/>
        <w:tab w:val="left" w:pos="1065"/>
      </w:tabs>
      <w:overflowPunct/>
      <w:autoSpaceDE/>
      <w:autoSpaceDN/>
      <w:adjustRightInd/>
      <w:spacing w:line="240" w:lineRule="atLeast"/>
      <w:ind w:left="1066" w:hanging="544"/>
      <w:textAlignment w:val="auto"/>
    </w:pPr>
    <w:rPr>
      <w:rFonts w:ascii="Times New Roman" w:hAnsi="Times New Roman"/>
      <w:snapToGrid w:val="0"/>
      <w:sz w:val="24"/>
    </w:rPr>
  </w:style>
  <w:style w:type="paragraph" w:styleId="CommentText">
    <w:name w:val="annotation text"/>
    <w:basedOn w:val="Normal"/>
    <w:semiHidden/>
    <w:rsid w:val="00A6046B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A6046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sid w:val="00A6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3FD57-4539-4515-A71F-EF7316CF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Guidance Document Template</vt:lpstr>
    </vt:vector>
  </TitlesOfParts>
  <Company>NHS Lothian CGST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Guidance Document Template</dc:title>
  <dc:subject>In-patient insulin use / rationalisation</dc:subject>
  <dc:creator>C Swift</dc:creator>
  <cp:keywords>insulin</cp:keywords>
  <cp:lastModifiedBy>Michael Richards</cp:lastModifiedBy>
  <cp:revision>2</cp:revision>
  <cp:lastPrinted>2017-08-03T07:51:00Z</cp:lastPrinted>
  <dcterms:created xsi:type="dcterms:W3CDTF">2017-09-06T10:31:00Z</dcterms:created>
  <dcterms:modified xsi:type="dcterms:W3CDTF">2017-09-06T10:31:00Z</dcterms:modified>
</cp:coreProperties>
</file>