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B1" w:rsidRPr="00EC05B1" w:rsidRDefault="00EB4B88" w:rsidP="00EB4B88">
      <w:pPr>
        <w:rPr>
          <w:rFonts w:ascii="Arial" w:hAnsi="Arial" w:cs="Arial"/>
          <w:b/>
          <w:bCs/>
          <w:color w:val="FF0000"/>
          <w:sz w:val="28"/>
        </w:rPr>
      </w:pPr>
      <w:r w:rsidRPr="00EB4B88">
        <w:rPr>
          <w:rFonts w:ascii="Arial" w:hAnsi="Arial" w:cs="Arial"/>
          <w:b/>
          <w:bCs/>
          <w:color w:val="FF0000"/>
          <w:sz w:val="28"/>
          <w:highlight w:val="yellow"/>
        </w:rPr>
        <w:t>INFORMATION</w:t>
      </w:r>
      <w:r w:rsidR="00EC05B1" w:rsidRPr="00EB4B88">
        <w:rPr>
          <w:rFonts w:ascii="Arial" w:hAnsi="Arial" w:cs="Arial"/>
          <w:b/>
          <w:bCs/>
          <w:color w:val="FF0000"/>
          <w:sz w:val="28"/>
          <w:highlight w:val="yellow"/>
        </w:rPr>
        <w:t>:</w:t>
      </w:r>
    </w:p>
    <w:p w:rsidR="00A56CDD" w:rsidRDefault="00A56CDD">
      <w:pPr>
        <w:jc w:val="center"/>
        <w:rPr>
          <w:rFonts w:ascii="Arial" w:hAnsi="Arial" w:cs="Arial"/>
          <w:b/>
          <w:bCs/>
          <w:sz w:val="28"/>
        </w:rPr>
      </w:pPr>
      <w:r>
        <w:rPr>
          <w:rFonts w:ascii="Arial" w:hAnsi="Arial" w:cs="Arial"/>
          <w:b/>
          <w:bCs/>
          <w:sz w:val="28"/>
        </w:rPr>
        <w:t>Lothian Guidance for Diagnosis and Management of Thyroid Dysfunction in Pregnancy</w:t>
      </w:r>
    </w:p>
    <w:p w:rsidR="00A56CDD" w:rsidRDefault="00A56CDD">
      <w:pPr>
        <w:rPr>
          <w:sz w:val="22"/>
        </w:rPr>
      </w:pPr>
    </w:p>
    <w:p w:rsidR="00A56CDD" w:rsidRDefault="003D05F5" w:rsidP="006060EF">
      <w:pPr>
        <w:jc w:val="both"/>
        <w:rPr>
          <w:sz w:val="22"/>
          <w:szCs w:val="12"/>
        </w:rPr>
      </w:pPr>
      <w:r>
        <w:rPr>
          <w:sz w:val="22"/>
        </w:rPr>
        <w:t>E</w:t>
      </w:r>
      <w:r w:rsidR="00A56CDD">
        <w:rPr>
          <w:sz w:val="22"/>
        </w:rPr>
        <w:t xml:space="preserve">arly diagnosis and good management </w:t>
      </w:r>
      <w:r w:rsidR="00540B75">
        <w:rPr>
          <w:sz w:val="22"/>
        </w:rPr>
        <w:t xml:space="preserve">of maternal thyroid dysfunction are </w:t>
      </w:r>
      <w:r w:rsidR="00A56CDD">
        <w:rPr>
          <w:sz w:val="22"/>
        </w:rPr>
        <w:t>essential to ensure minimal adverse effects on fetal development</w:t>
      </w:r>
      <w:r w:rsidR="00540B75">
        <w:rPr>
          <w:sz w:val="22"/>
        </w:rPr>
        <w:t xml:space="preserve"> and maternal heath</w:t>
      </w:r>
      <w:r w:rsidR="00A56CDD">
        <w:rPr>
          <w:sz w:val="22"/>
        </w:rPr>
        <w:t xml:space="preserve">. </w:t>
      </w:r>
      <w:r w:rsidR="00A56CDD">
        <w:rPr>
          <w:sz w:val="22"/>
          <w:szCs w:val="12"/>
        </w:rPr>
        <w:t xml:space="preserve">The following are suggestions for the use of thyroid function tests in Primary Care and are derived from the </w:t>
      </w:r>
      <w:smartTag w:uri="urn:schemas-microsoft-com:office:smarttags" w:element="place">
        <w:smartTag w:uri="urn:schemas-microsoft-com:office:smarttags" w:element="country-region">
          <w:r w:rsidR="00A56CDD">
            <w:rPr>
              <w:sz w:val="22"/>
              <w:szCs w:val="12"/>
            </w:rPr>
            <w:t>UK</w:t>
          </w:r>
        </w:smartTag>
      </w:smartTag>
      <w:r w:rsidR="00A56CDD">
        <w:rPr>
          <w:sz w:val="22"/>
          <w:szCs w:val="12"/>
        </w:rPr>
        <w:t xml:space="preserve"> guidelines, modified to take into account local practice.</w:t>
      </w:r>
    </w:p>
    <w:p w:rsidR="00A56CDD" w:rsidRDefault="00A56CDD">
      <w:pPr>
        <w:rPr>
          <w:b/>
          <w:bCs/>
          <w:sz w:val="22"/>
        </w:rPr>
      </w:pPr>
      <w:r>
        <w:rPr>
          <w:b/>
          <w:bCs/>
          <w:sz w:val="22"/>
        </w:rPr>
        <w:t xml:space="preserve"> </w:t>
      </w:r>
    </w:p>
    <w:p w:rsidR="00A56CDD" w:rsidRDefault="00A56CDD">
      <w:pPr>
        <w:pStyle w:val="Heading2"/>
        <w:rPr>
          <w:sz w:val="28"/>
        </w:rPr>
      </w:pPr>
      <w:r>
        <w:rPr>
          <w:sz w:val="28"/>
        </w:rPr>
        <w:t>Diagnosis and Management of Thyroid Disease in Pregnancy</w:t>
      </w:r>
    </w:p>
    <w:p w:rsidR="00A56CDD" w:rsidRDefault="00A56CDD" w:rsidP="006060EF">
      <w:pPr>
        <w:jc w:val="both"/>
        <w:rPr>
          <w:sz w:val="22"/>
          <w:szCs w:val="20"/>
        </w:rPr>
      </w:pPr>
      <w:r>
        <w:rPr>
          <w:sz w:val="22"/>
          <w:szCs w:val="28"/>
        </w:rPr>
        <w:t xml:space="preserve">This requires close liaison between the GP, Community Midwife, Endocrinologist and Obstetrician. Much of the thyroid function testing is likely to be undertaken by the </w:t>
      </w:r>
      <w:r>
        <w:rPr>
          <w:sz w:val="22"/>
          <w:szCs w:val="20"/>
        </w:rPr>
        <w:t xml:space="preserve">Community Midwives. However, the initial set of thyroid function tests </w:t>
      </w:r>
      <w:r w:rsidR="000406D0">
        <w:rPr>
          <w:sz w:val="22"/>
          <w:szCs w:val="20"/>
        </w:rPr>
        <w:t xml:space="preserve">requested </w:t>
      </w:r>
      <w:r>
        <w:rPr>
          <w:sz w:val="22"/>
          <w:szCs w:val="20"/>
        </w:rPr>
        <w:t>for screening purposes or to check thyroid status in patients with established thyroid disorders is more likely to be done by the GP.</w:t>
      </w:r>
      <w:r w:rsidR="00D25082">
        <w:rPr>
          <w:sz w:val="22"/>
          <w:szCs w:val="20"/>
        </w:rPr>
        <w:t xml:space="preserve"> For the majority of stable hypothyroid patients on Levothyroxine, NHS Lothian guidance suggests that 2 yearly testing is adequate, but in women of reproductive age, TFTs should be done at least annually.</w:t>
      </w:r>
    </w:p>
    <w:p w:rsidR="00A56CDD" w:rsidRPr="00DB620D" w:rsidRDefault="00A56CDD" w:rsidP="006060EF">
      <w:pPr>
        <w:jc w:val="both"/>
        <w:rPr>
          <w:b/>
          <w:bCs/>
          <w:sz w:val="14"/>
        </w:rPr>
      </w:pPr>
    </w:p>
    <w:p w:rsidR="00A56CDD" w:rsidRDefault="00A56CDD" w:rsidP="006060EF">
      <w:pPr>
        <w:pStyle w:val="Heading2"/>
        <w:jc w:val="both"/>
        <w:rPr>
          <w:sz w:val="22"/>
        </w:rPr>
      </w:pPr>
      <w:r>
        <w:rPr>
          <w:sz w:val="22"/>
        </w:rPr>
        <w:t>General Points</w:t>
      </w:r>
    </w:p>
    <w:p w:rsidR="00A56CDD" w:rsidRDefault="00A56CDD" w:rsidP="006060EF">
      <w:pPr>
        <w:jc w:val="both"/>
        <w:rPr>
          <w:color w:val="000000"/>
          <w:sz w:val="22"/>
        </w:rPr>
      </w:pPr>
      <w:r>
        <w:rPr>
          <w:color w:val="000000"/>
          <w:sz w:val="22"/>
        </w:rPr>
        <w:t>Maternal Free</w:t>
      </w:r>
      <w:r w:rsidR="00863CF5">
        <w:rPr>
          <w:color w:val="000000"/>
          <w:sz w:val="22"/>
        </w:rPr>
        <w:t xml:space="preserve"> </w:t>
      </w:r>
      <w:r>
        <w:rPr>
          <w:color w:val="000000"/>
          <w:sz w:val="22"/>
        </w:rPr>
        <w:t xml:space="preserve">T4 (FT4) and Free T3 (FT3) rather than total hormone concentrations must be measured in pregnancy. </w:t>
      </w:r>
      <w:r w:rsidRPr="00841C28">
        <w:rPr>
          <w:b/>
          <w:i/>
          <w:color w:val="000000"/>
          <w:sz w:val="22"/>
        </w:rPr>
        <w:t>This is because Total T4 and Total T3 increase in pregnancy due to increased serum concentrations of thyroid hormone binding proteins. It is only the FT3 and FT4 fraction (not the bound fraction) tha</w:t>
      </w:r>
      <w:r w:rsidR="00857C63" w:rsidRPr="00841C28">
        <w:rPr>
          <w:b/>
          <w:i/>
          <w:color w:val="000000"/>
          <w:sz w:val="22"/>
        </w:rPr>
        <w:t>t</w:t>
      </w:r>
      <w:r w:rsidRPr="00841C28">
        <w:rPr>
          <w:b/>
          <w:i/>
          <w:color w:val="000000"/>
          <w:sz w:val="22"/>
        </w:rPr>
        <w:t xml:space="preserve"> can enter cells and modify metabolism.</w:t>
      </w:r>
      <w:r>
        <w:rPr>
          <w:color w:val="000000"/>
          <w:sz w:val="22"/>
        </w:rPr>
        <w:t xml:space="preserve"> Trimester-specific reference ranges for FT3 and FT4 need to be applied for diagnosis as their concentrations fall during pregnancy (see below).</w:t>
      </w:r>
    </w:p>
    <w:p w:rsidR="00A56CDD" w:rsidRDefault="00A56CDD">
      <w:pPr>
        <w:rPr>
          <w:color w:val="000000"/>
          <w:sz w:val="22"/>
        </w:rPr>
      </w:pPr>
      <w:r>
        <w:rPr>
          <w:color w:val="00000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2220"/>
        <w:gridCol w:w="2221"/>
        <w:gridCol w:w="2221"/>
      </w:tblGrid>
      <w:tr w:rsidR="00FA59A5" w:rsidRPr="000E2F7F" w:rsidTr="00A62ABF">
        <w:tc>
          <w:tcPr>
            <w:tcW w:w="2518" w:type="dxa"/>
          </w:tcPr>
          <w:p w:rsidR="00FA59A5" w:rsidRPr="00647188" w:rsidRDefault="00FA59A5" w:rsidP="00F31D43">
            <w:pPr>
              <w:rPr>
                <w:b/>
                <w:bCs/>
                <w:sz w:val="22"/>
                <w:szCs w:val="22"/>
              </w:rPr>
            </w:pPr>
          </w:p>
        </w:tc>
        <w:tc>
          <w:tcPr>
            <w:tcW w:w="2220" w:type="dxa"/>
          </w:tcPr>
          <w:p w:rsidR="00FA59A5" w:rsidRPr="00647188" w:rsidRDefault="00FA59A5" w:rsidP="00F31D43">
            <w:pPr>
              <w:jc w:val="center"/>
              <w:rPr>
                <w:b/>
                <w:bCs/>
                <w:sz w:val="22"/>
                <w:szCs w:val="22"/>
              </w:rPr>
            </w:pPr>
            <w:r w:rsidRPr="00647188">
              <w:rPr>
                <w:b/>
                <w:bCs/>
                <w:sz w:val="22"/>
                <w:szCs w:val="22"/>
              </w:rPr>
              <w:t>First trimester</w:t>
            </w:r>
          </w:p>
        </w:tc>
        <w:tc>
          <w:tcPr>
            <w:tcW w:w="2221" w:type="dxa"/>
          </w:tcPr>
          <w:p w:rsidR="00FA59A5" w:rsidRPr="00647188" w:rsidRDefault="00FA59A5" w:rsidP="00F31D43">
            <w:pPr>
              <w:jc w:val="center"/>
              <w:rPr>
                <w:b/>
                <w:bCs/>
                <w:sz w:val="22"/>
                <w:szCs w:val="22"/>
              </w:rPr>
            </w:pPr>
            <w:r w:rsidRPr="00647188">
              <w:rPr>
                <w:b/>
                <w:bCs/>
                <w:sz w:val="22"/>
                <w:szCs w:val="22"/>
              </w:rPr>
              <w:t>Second Trimester</w:t>
            </w:r>
          </w:p>
        </w:tc>
        <w:tc>
          <w:tcPr>
            <w:tcW w:w="2221" w:type="dxa"/>
          </w:tcPr>
          <w:p w:rsidR="00FA59A5" w:rsidRPr="00647188" w:rsidRDefault="00FA59A5" w:rsidP="00F31D43">
            <w:pPr>
              <w:jc w:val="center"/>
              <w:rPr>
                <w:b/>
                <w:bCs/>
                <w:sz w:val="22"/>
                <w:szCs w:val="22"/>
              </w:rPr>
            </w:pPr>
            <w:r w:rsidRPr="00647188">
              <w:rPr>
                <w:b/>
                <w:bCs/>
                <w:sz w:val="22"/>
                <w:szCs w:val="22"/>
              </w:rPr>
              <w:t>Third Trimester</w:t>
            </w:r>
          </w:p>
        </w:tc>
      </w:tr>
      <w:tr w:rsidR="00FA59A5" w:rsidRPr="000E2F7F" w:rsidTr="00A62ABF">
        <w:tc>
          <w:tcPr>
            <w:tcW w:w="2518" w:type="dxa"/>
          </w:tcPr>
          <w:p w:rsidR="00FA59A5" w:rsidRPr="00647188" w:rsidRDefault="00FA59A5" w:rsidP="00F31D43">
            <w:pPr>
              <w:rPr>
                <w:b/>
                <w:bCs/>
                <w:sz w:val="22"/>
                <w:szCs w:val="22"/>
              </w:rPr>
            </w:pPr>
            <w:r w:rsidRPr="00647188">
              <w:rPr>
                <w:b/>
                <w:bCs/>
                <w:sz w:val="22"/>
                <w:szCs w:val="22"/>
              </w:rPr>
              <w:t>TSH mU/L</w:t>
            </w:r>
          </w:p>
        </w:tc>
        <w:tc>
          <w:tcPr>
            <w:tcW w:w="2220" w:type="dxa"/>
          </w:tcPr>
          <w:p w:rsidR="00FA59A5" w:rsidRPr="00647188" w:rsidRDefault="00FA59A5" w:rsidP="00F31D43">
            <w:pPr>
              <w:rPr>
                <w:sz w:val="22"/>
                <w:szCs w:val="22"/>
              </w:rPr>
            </w:pPr>
            <w:r w:rsidRPr="00647188">
              <w:rPr>
                <w:sz w:val="22"/>
                <w:szCs w:val="22"/>
              </w:rPr>
              <w:t>0.09 – 2.8</w:t>
            </w:r>
          </w:p>
        </w:tc>
        <w:tc>
          <w:tcPr>
            <w:tcW w:w="2221" w:type="dxa"/>
          </w:tcPr>
          <w:p w:rsidR="00FA59A5" w:rsidRPr="00647188" w:rsidRDefault="00FA59A5" w:rsidP="00F31D43">
            <w:pPr>
              <w:rPr>
                <w:sz w:val="22"/>
                <w:szCs w:val="22"/>
              </w:rPr>
            </w:pPr>
            <w:r w:rsidRPr="00647188">
              <w:rPr>
                <w:sz w:val="22"/>
                <w:szCs w:val="22"/>
              </w:rPr>
              <w:t>0.20 – 2.8</w:t>
            </w:r>
          </w:p>
        </w:tc>
        <w:tc>
          <w:tcPr>
            <w:tcW w:w="2221" w:type="dxa"/>
          </w:tcPr>
          <w:p w:rsidR="00FA59A5" w:rsidRPr="00647188" w:rsidRDefault="00FA59A5" w:rsidP="00F31D43">
            <w:pPr>
              <w:rPr>
                <w:sz w:val="22"/>
                <w:szCs w:val="22"/>
              </w:rPr>
            </w:pPr>
            <w:r w:rsidRPr="00647188">
              <w:rPr>
                <w:sz w:val="22"/>
                <w:szCs w:val="22"/>
              </w:rPr>
              <w:t>0.30 – 2.9</w:t>
            </w:r>
          </w:p>
        </w:tc>
      </w:tr>
      <w:tr w:rsidR="00FA59A5" w:rsidRPr="000E2F7F" w:rsidTr="00A62ABF">
        <w:tc>
          <w:tcPr>
            <w:tcW w:w="2518" w:type="dxa"/>
          </w:tcPr>
          <w:p w:rsidR="00FA59A5" w:rsidRPr="00647188" w:rsidRDefault="00FA59A5" w:rsidP="00F31D43">
            <w:pPr>
              <w:rPr>
                <w:b/>
                <w:bCs/>
                <w:sz w:val="22"/>
                <w:szCs w:val="22"/>
              </w:rPr>
            </w:pPr>
            <w:r w:rsidRPr="00647188">
              <w:rPr>
                <w:b/>
                <w:bCs/>
                <w:sz w:val="22"/>
                <w:szCs w:val="22"/>
              </w:rPr>
              <w:t>FT4 pmol/L</w:t>
            </w:r>
          </w:p>
        </w:tc>
        <w:tc>
          <w:tcPr>
            <w:tcW w:w="2220" w:type="dxa"/>
          </w:tcPr>
          <w:p w:rsidR="00FA59A5" w:rsidRPr="00647188" w:rsidRDefault="00FA59A5" w:rsidP="00F31D43">
            <w:pPr>
              <w:rPr>
                <w:sz w:val="22"/>
                <w:szCs w:val="22"/>
              </w:rPr>
            </w:pPr>
            <w:r w:rsidRPr="00647188">
              <w:rPr>
                <w:sz w:val="22"/>
                <w:szCs w:val="22"/>
              </w:rPr>
              <w:t>10 – 18</w:t>
            </w:r>
          </w:p>
        </w:tc>
        <w:tc>
          <w:tcPr>
            <w:tcW w:w="2221" w:type="dxa"/>
          </w:tcPr>
          <w:p w:rsidR="00FA59A5" w:rsidRPr="00647188" w:rsidRDefault="00FA59A5" w:rsidP="00F31D43">
            <w:pPr>
              <w:rPr>
                <w:sz w:val="22"/>
                <w:szCs w:val="22"/>
              </w:rPr>
            </w:pPr>
            <w:r w:rsidRPr="00647188">
              <w:rPr>
                <w:sz w:val="22"/>
                <w:szCs w:val="22"/>
              </w:rPr>
              <w:t>9 - 16</w:t>
            </w:r>
          </w:p>
        </w:tc>
        <w:tc>
          <w:tcPr>
            <w:tcW w:w="2221" w:type="dxa"/>
          </w:tcPr>
          <w:p w:rsidR="00FA59A5" w:rsidRPr="00647188" w:rsidRDefault="00FA59A5" w:rsidP="00F31D43">
            <w:pPr>
              <w:rPr>
                <w:sz w:val="22"/>
                <w:szCs w:val="22"/>
              </w:rPr>
            </w:pPr>
            <w:r w:rsidRPr="00647188">
              <w:rPr>
                <w:sz w:val="22"/>
                <w:szCs w:val="22"/>
              </w:rPr>
              <w:t>8 - 14</w:t>
            </w:r>
          </w:p>
        </w:tc>
      </w:tr>
      <w:tr w:rsidR="00FA59A5" w:rsidRPr="000E2F7F" w:rsidTr="00A62ABF">
        <w:tc>
          <w:tcPr>
            <w:tcW w:w="2518" w:type="dxa"/>
          </w:tcPr>
          <w:p w:rsidR="00FA59A5" w:rsidRPr="00A62ABF" w:rsidRDefault="00FA59A5" w:rsidP="00F31D43">
            <w:pPr>
              <w:rPr>
                <w:b/>
                <w:bCs/>
                <w:color w:val="FF0000"/>
                <w:sz w:val="22"/>
                <w:szCs w:val="22"/>
              </w:rPr>
            </w:pPr>
            <w:r w:rsidRPr="00A62ABF">
              <w:rPr>
                <w:b/>
                <w:bCs/>
                <w:color w:val="FF0000"/>
                <w:sz w:val="22"/>
                <w:szCs w:val="22"/>
              </w:rPr>
              <w:t>FT3 pmol/L</w:t>
            </w:r>
            <w:r w:rsidR="00A62ABF">
              <w:rPr>
                <w:b/>
                <w:bCs/>
                <w:color w:val="FF0000"/>
                <w:sz w:val="22"/>
                <w:szCs w:val="22"/>
              </w:rPr>
              <w:t xml:space="preserve"> (see below)</w:t>
            </w:r>
          </w:p>
        </w:tc>
        <w:tc>
          <w:tcPr>
            <w:tcW w:w="2220" w:type="dxa"/>
          </w:tcPr>
          <w:p w:rsidR="00FA59A5" w:rsidRPr="00A62ABF" w:rsidRDefault="00FA59A5" w:rsidP="00F31D43">
            <w:pPr>
              <w:rPr>
                <w:color w:val="FF0000"/>
                <w:sz w:val="22"/>
                <w:szCs w:val="22"/>
              </w:rPr>
            </w:pPr>
            <w:r w:rsidRPr="00A62ABF">
              <w:rPr>
                <w:color w:val="FF0000"/>
                <w:sz w:val="22"/>
                <w:szCs w:val="22"/>
              </w:rPr>
              <w:t>3.2 – 5.6</w:t>
            </w:r>
          </w:p>
        </w:tc>
        <w:tc>
          <w:tcPr>
            <w:tcW w:w="2221" w:type="dxa"/>
          </w:tcPr>
          <w:p w:rsidR="00FA59A5" w:rsidRPr="00A62ABF" w:rsidRDefault="00FA59A5" w:rsidP="00F31D43">
            <w:pPr>
              <w:rPr>
                <w:color w:val="FF0000"/>
                <w:sz w:val="22"/>
                <w:szCs w:val="22"/>
              </w:rPr>
            </w:pPr>
            <w:r w:rsidRPr="00A62ABF">
              <w:rPr>
                <w:color w:val="FF0000"/>
                <w:sz w:val="22"/>
                <w:szCs w:val="22"/>
              </w:rPr>
              <w:t>3.1 – 5.2</w:t>
            </w:r>
          </w:p>
        </w:tc>
        <w:tc>
          <w:tcPr>
            <w:tcW w:w="2221" w:type="dxa"/>
          </w:tcPr>
          <w:p w:rsidR="00FA59A5" w:rsidRPr="00A62ABF" w:rsidRDefault="00FA59A5" w:rsidP="00F31D43">
            <w:pPr>
              <w:rPr>
                <w:color w:val="FF0000"/>
                <w:sz w:val="22"/>
                <w:szCs w:val="22"/>
              </w:rPr>
            </w:pPr>
            <w:r w:rsidRPr="00A62ABF">
              <w:rPr>
                <w:color w:val="FF0000"/>
                <w:sz w:val="22"/>
                <w:szCs w:val="22"/>
              </w:rPr>
              <w:t>3.0 – 5.1</w:t>
            </w:r>
          </w:p>
        </w:tc>
      </w:tr>
    </w:tbl>
    <w:p w:rsidR="00A56CDD" w:rsidRDefault="00A56CDD">
      <w:pPr>
        <w:pStyle w:val="Heading6"/>
        <w:rPr>
          <w:sz w:val="22"/>
        </w:rPr>
      </w:pPr>
      <w:r>
        <w:rPr>
          <w:sz w:val="22"/>
        </w:rPr>
        <w:t xml:space="preserve">References Ranges for Thyroid Function Tests in Pregnancy </w:t>
      </w:r>
    </w:p>
    <w:p w:rsidR="00A62ABF" w:rsidRPr="00DB620D" w:rsidRDefault="00A62ABF" w:rsidP="00A62ABF">
      <w:pPr>
        <w:rPr>
          <w:sz w:val="16"/>
        </w:rPr>
      </w:pPr>
    </w:p>
    <w:p w:rsidR="00A62ABF" w:rsidRDefault="00DB620D" w:rsidP="00A62ABF">
      <w:pPr>
        <w:rPr>
          <w:b/>
          <w:bCs/>
          <w:color w:val="FF0000"/>
          <w:sz w:val="22"/>
        </w:rPr>
      </w:pPr>
      <w:r w:rsidRPr="00DB620D">
        <w:rPr>
          <w:b/>
          <w:bCs/>
          <w:sz w:val="22"/>
        </w:rPr>
        <w:t>NB</w:t>
      </w:r>
      <w:r w:rsidRPr="00DB620D">
        <w:rPr>
          <w:sz w:val="22"/>
        </w:rPr>
        <w:t xml:space="preserve">: In June 2020, the FT3 reference range for non-pregnant individuals was increased by approximately 1 pmol/L to 2.4-6.0 pmol/L. </w:t>
      </w:r>
      <w:r w:rsidRPr="00DB620D">
        <w:rPr>
          <w:b/>
          <w:bCs/>
          <w:color w:val="FF0000"/>
          <w:sz w:val="22"/>
        </w:rPr>
        <w:t>At present we no longer have reliable trimester-specific reference ranges to apply during pregnancy. Free T3 results are likely to be slightly higher in pregnancy, particularly during the first trimester, but results should be interpreted in the context of overall thyroid status</w:t>
      </w:r>
    </w:p>
    <w:p w:rsidR="00DB620D" w:rsidRPr="00DB620D" w:rsidRDefault="00DB620D" w:rsidP="00A62ABF">
      <w:pPr>
        <w:rPr>
          <w:sz w:val="22"/>
        </w:rPr>
      </w:pPr>
    </w:p>
    <w:p w:rsidR="00EB4B88" w:rsidRPr="00EB4B88" w:rsidRDefault="00EB4B88" w:rsidP="00EC05B1">
      <w:pPr>
        <w:rPr>
          <w:b/>
          <w:color w:val="FF0000"/>
        </w:rPr>
      </w:pPr>
      <w:r w:rsidRPr="00EB4B88">
        <w:rPr>
          <w:b/>
          <w:color w:val="FF0000"/>
        </w:rPr>
        <w:t>PLEASE NOTE:</w:t>
      </w:r>
    </w:p>
    <w:p w:rsidR="00EC05B1" w:rsidRPr="00EB4B88" w:rsidRDefault="00EC05B1" w:rsidP="00EC05B1">
      <w:pPr>
        <w:rPr>
          <w:b/>
          <w:color w:val="FF0000"/>
        </w:rPr>
      </w:pPr>
      <w:r w:rsidRPr="00EB4B88">
        <w:rPr>
          <w:b/>
          <w:color w:val="FF0000"/>
        </w:rPr>
        <w:t>The full guidance document is in resource</w:t>
      </w:r>
      <w:r w:rsidR="00EB4B88" w:rsidRPr="00EB4B88">
        <w:rPr>
          <w:b/>
          <w:color w:val="FF0000"/>
        </w:rPr>
        <w:t>s.</w:t>
      </w:r>
    </w:p>
    <w:p w:rsidR="00EB4B88" w:rsidRPr="00EB4B88" w:rsidRDefault="00EC05B1">
      <w:pPr>
        <w:pStyle w:val="Heading2"/>
        <w:rPr>
          <w:color w:val="FF0000"/>
          <w:sz w:val="22"/>
        </w:rPr>
      </w:pPr>
      <w:r w:rsidRPr="00EB4B88">
        <w:rPr>
          <w:color w:val="FF0000"/>
          <w:sz w:val="22"/>
        </w:rPr>
        <w:t>For details of screening and Primary care Management of patients with a thyroid history – see Primary Care Management</w:t>
      </w:r>
      <w:r w:rsidR="00EB4B88" w:rsidRPr="00EB4B88">
        <w:rPr>
          <w:color w:val="FF0000"/>
          <w:sz w:val="22"/>
        </w:rPr>
        <w:t>.</w:t>
      </w:r>
    </w:p>
    <w:p w:rsidR="00EB4B88" w:rsidRPr="00EB4B88" w:rsidRDefault="00EB4B88" w:rsidP="00EB4B88"/>
    <w:p w:rsidR="00EB4B88" w:rsidRDefault="00EB4B88" w:rsidP="00EB4B88">
      <w:pPr>
        <w:pStyle w:val="Heading8"/>
        <w:rPr>
          <w:color w:val="FF0000"/>
          <w:sz w:val="22"/>
        </w:rPr>
      </w:pPr>
      <w:r w:rsidRPr="00EB4B88">
        <w:rPr>
          <w:color w:val="FF0000"/>
          <w:sz w:val="22"/>
          <w:highlight w:val="yellow"/>
        </w:rPr>
        <w:t>REFERRAL GUIDELINES</w:t>
      </w:r>
    </w:p>
    <w:p w:rsidR="00EB4B88" w:rsidRPr="00EC05B1" w:rsidRDefault="00EB4B88" w:rsidP="00EB4B88">
      <w:pPr>
        <w:pStyle w:val="Heading8"/>
        <w:rPr>
          <w:color w:val="FF0000"/>
          <w:sz w:val="22"/>
        </w:rPr>
      </w:pPr>
      <w:r>
        <w:rPr>
          <w:color w:val="FF0000"/>
          <w:sz w:val="22"/>
        </w:rPr>
        <w:t>W</w:t>
      </w:r>
      <w:r w:rsidRPr="00EC05B1">
        <w:rPr>
          <w:color w:val="FF0000"/>
          <w:sz w:val="22"/>
        </w:rPr>
        <w:t>HO TO REFER:</w:t>
      </w:r>
    </w:p>
    <w:p w:rsidR="00EB4B88" w:rsidRPr="00E56490" w:rsidRDefault="00EB4B88" w:rsidP="00EB4B88">
      <w:pPr>
        <w:numPr>
          <w:ilvl w:val="0"/>
          <w:numId w:val="28"/>
        </w:numPr>
        <w:rPr>
          <w:sz w:val="22"/>
          <w:szCs w:val="22"/>
        </w:rPr>
      </w:pPr>
      <w:r w:rsidRPr="00E56490">
        <w:rPr>
          <w:b/>
          <w:bCs/>
          <w:sz w:val="22"/>
          <w:szCs w:val="22"/>
        </w:rPr>
        <w:t>ALL women with hyperthyroidism</w:t>
      </w:r>
    </w:p>
    <w:p w:rsidR="00EB4B88" w:rsidRPr="00E56490" w:rsidRDefault="00EB4B88" w:rsidP="00EB4B88">
      <w:pPr>
        <w:numPr>
          <w:ilvl w:val="0"/>
          <w:numId w:val="28"/>
        </w:numPr>
        <w:rPr>
          <w:sz w:val="22"/>
          <w:szCs w:val="22"/>
        </w:rPr>
      </w:pPr>
      <w:r w:rsidRPr="00E56490">
        <w:rPr>
          <w:b/>
          <w:bCs/>
          <w:sz w:val="22"/>
          <w:szCs w:val="22"/>
        </w:rPr>
        <w:t xml:space="preserve">Patients with a history of </w:t>
      </w:r>
      <w:r w:rsidR="00431DA5" w:rsidRPr="00E56490">
        <w:rPr>
          <w:b/>
          <w:bCs/>
          <w:sz w:val="22"/>
          <w:szCs w:val="22"/>
        </w:rPr>
        <w:t>Graves’</w:t>
      </w:r>
      <w:r w:rsidRPr="00E56490">
        <w:rPr>
          <w:b/>
          <w:bCs/>
          <w:sz w:val="22"/>
          <w:szCs w:val="22"/>
        </w:rPr>
        <w:t xml:space="preserve"> Disease who are euthyroid or hypothyroid through radioiodine treatment or surgery – who are TRAbs positive</w:t>
      </w:r>
    </w:p>
    <w:p w:rsidR="00EB4B88" w:rsidRPr="00E56490" w:rsidRDefault="00EB4B88" w:rsidP="00EB4B88">
      <w:pPr>
        <w:numPr>
          <w:ilvl w:val="0"/>
          <w:numId w:val="28"/>
        </w:numPr>
        <w:rPr>
          <w:sz w:val="22"/>
          <w:szCs w:val="22"/>
        </w:rPr>
      </w:pPr>
      <w:r w:rsidRPr="00E56490">
        <w:rPr>
          <w:sz w:val="22"/>
          <w:szCs w:val="22"/>
        </w:rPr>
        <w:t xml:space="preserve">Any woman with unstable TFTs </w:t>
      </w:r>
    </w:p>
    <w:p w:rsidR="00EB4B88" w:rsidRPr="00E56490" w:rsidRDefault="00EB4B88" w:rsidP="00EB4B88">
      <w:pPr>
        <w:numPr>
          <w:ilvl w:val="0"/>
          <w:numId w:val="28"/>
        </w:numPr>
        <w:autoSpaceDE w:val="0"/>
        <w:autoSpaceDN w:val="0"/>
        <w:adjustRightInd w:val="0"/>
        <w:jc w:val="both"/>
        <w:rPr>
          <w:sz w:val="22"/>
          <w:szCs w:val="22"/>
          <w:lang w:eastAsia="en-GB"/>
        </w:rPr>
      </w:pPr>
      <w:r w:rsidRPr="00E56490">
        <w:rPr>
          <w:sz w:val="22"/>
          <w:szCs w:val="22"/>
          <w:lang w:eastAsia="en-GB"/>
        </w:rPr>
        <w:t>TPO Ab-positive women</w:t>
      </w:r>
      <w:r w:rsidR="007E0E38" w:rsidRPr="00E56490">
        <w:rPr>
          <w:sz w:val="22"/>
          <w:szCs w:val="22"/>
          <w:lang w:eastAsia="en-GB"/>
        </w:rPr>
        <w:t>: management is covered in the section on sub-clinical hypothyroidism.  These women do not necessarily need referral, but if advice is required</w:t>
      </w:r>
      <w:r w:rsidRPr="00E56490">
        <w:rPr>
          <w:sz w:val="22"/>
          <w:szCs w:val="22"/>
          <w:lang w:eastAsia="en-GB"/>
        </w:rPr>
        <w:t xml:space="preserve"> please discuss with a consultant endocrinologist by sending an ‘Advice Only’ referral on SCI Gateway.</w:t>
      </w:r>
    </w:p>
    <w:p w:rsidR="00EB4B88" w:rsidRPr="00E56490" w:rsidRDefault="00EB4B88" w:rsidP="00EB4B88">
      <w:pPr>
        <w:numPr>
          <w:ilvl w:val="0"/>
          <w:numId w:val="28"/>
        </w:numPr>
        <w:rPr>
          <w:sz w:val="22"/>
          <w:szCs w:val="22"/>
        </w:rPr>
      </w:pPr>
      <w:r w:rsidRPr="00E56490">
        <w:rPr>
          <w:sz w:val="22"/>
          <w:szCs w:val="22"/>
        </w:rPr>
        <w:t>Community midwife to inform obstetrician if hypothyroidism diagnosed during pregnancy.</w:t>
      </w:r>
    </w:p>
    <w:p w:rsidR="00EB4B88" w:rsidRPr="00E56490" w:rsidRDefault="00EB4B88" w:rsidP="00EB4B88">
      <w:pPr>
        <w:numPr>
          <w:ilvl w:val="0"/>
          <w:numId w:val="28"/>
        </w:numPr>
        <w:rPr>
          <w:sz w:val="22"/>
          <w:szCs w:val="22"/>
        </w:rPr>
      </w:pPr>
      <w:r w:rsidRPr="00E56490">
        <w:rPr>
          <w:sz w:val="22"/>
          <w:szCs w:val="22"/>
        </w:rPr>
        <w:t xml:space="preserve">All women with hyperthyroid profile post-partum to assess for post-partum thyroiditis and </w:t>
      </w:r>
      <w:r w:rsidR="00431DA5" w:rsidRPr="00E56490">
        <w:rPr>
          <w:sz w:val="22"/>
          <w:szCs w:val="22"/>
        </w:rPr>
        <w:t>Graves’</w:t>
      </w:r>
      <w:r w:rsidRPr="00E56490">
        <w:rPr>
          <w:sz w:val="22"/>
          <w:szCs w:val="22"/>
        </w:rPr>
        <w:t xml:space="preserve"> disease</w:t>
      </w:r>
    </w:p>
    <w:p w:rsidR="00EB4B88" w:rsidRPr="00E56490" w:rsidRDefault="00431DA5" w:rsidP="00EB4B88">
      <w:pPr>
        <w:numPr>
          <w:ilvl w:val="0"/>
          <w:numId w:val="23"/>
        </w:numPr>
        <w:rPr>
          <w:sz w:val="22"/>
          <w:szCs w:val="22"/>
        </w:rPr>
      </w:pPr>
      <w:r w:rsidRPr="00E56490">
        <w:rPr>
          <w:sz w:val="22"/>
          <w:szCs w:val="22"/>
        </w:rPr>
        <w:t>Any woman with a HISTORY of hyperthyroidism should also be discussed or referred.</w:t>
      </w:r>
    </w:p>
    <w:p w:rsidR="00EB4B88" w:rsidRPr="00DB620D" w:rsidRDefault="00431DA5" w:rsidP="00EB4B88">
      <w:pPr>
        <w:numPr>
          <w:ilvl w:val="0"/>
          <w:numId w:val="23"/>
        </w:numPr>
        <w:rPr>
          <w:sz w:val="22"/>
          <w:szCs w:val="22"/>
        </w:rPr>
      </w:pPr>
      <w:r w:rsidRPr="00E56490">
        <w:rPr>
          <w:b/>
          <w:sz w:val="22"/>
          <w:szCs w:val="22"/>
          <w:u w:val="single"/>
        </w:rPr>
        <w:t>All</w:t>
      </w:r>
      <w:r w:rsidRPr="00E56490">
        <w:rPr>
          <w:sz w:val="22"/>
          <w:szCs w:val="22"/>
        </w:rPr>
        <w:t xml:space="preserve"> women with hyperthyroidism in pregnancy should be seen by a Consultant Endocrinologist and a Consultant Obstetrician from early in pregnancy – please see below for full details</w:t>
      </w:r>
    </w:p>
    <w:p w:rsidR="00EB4B88" w:rsidRDefault="00EB4B88" w:rsidP="00EB4B88">
      <w:pPr>
        <w:pStyle w:val="Heading8"/>
        <w:rPr>
          <w:color w:val="000000"/>
          <w:sz w:val="22"/>
        </w:rPr>
      </w:pPr>
      <w:r>
        <w:rPr>
          <w:color w:val="000000"/>
          <w:sz w:val="22"/>
        </w:rPr>
        <w:lastRenderedPageBreak/>
        <w:t xml:space="preserve">Specialist Management of Hyperthyroidism in Pregnancy </w:t>
      </w:r>
    </w:p>
    <w:p w:rsidR="00EB4B88" w:rsidRDefault="00EB4B88" w:rsidP="00EB4B88">
      <w:pPr>
        <w:numPr>
          <w:ilvl w:val="0"/>
          <w:numId w:val="23"/>
        </w:numPr>
        <w:rPr>
          <w:sz w:val="22"/>
        </w:rPr>
      </w:pPr>
      <w:r>
        <w:rPr>
          <w:sz w:val="22"/>
        </w:rPr>
        <w:t>Home delivery is not appropriate for women with Hyperthyroidism, nor is delivery in the Lothian Birthing Centre as neonatal team review is required in the first 24 hours of life.</w:t>
      </w:r>
    </w:p>
    <w:p w:rsidR="00EB4B88" w:rsidRDefault="00EB4B88" w:rsidP="00EB4B88">
      <w:pPr>
        <w:numPr>
          <w:ilvl w:val="0"/>
          <w:numId w:val="23"/>
        </w:numPr>
        <w:rPr>
          <w:sz w:val="22"/>
        </w:rPr>
      </w:pPr>
      <w:r>
        <w:rPr>
          <w:sz w:val="22"/>
        </w:rPr>
        <w:t>All women with a past history of hyperthyroidism who are now euthyroid should be discussed/referred to an obstetrician.  All women with hyperthyroidism will have serial growth scans.</w:t>
      </w:r>
    </w:p>
    <w:p w:rsidR="00EB4B88" w:rsidRDefault="00EB4B88" w:rsidP="00EB4B88">
      <w:pPr>
        <w:numPr>
          <w:ilvl w:val="0"/>
          <w:numId w:val="23"/>
        </w:numPr>
        <w:rPr>
          <w:sz w:val="22"/>
        </w:rPr>
      </w:pPr>
      <w:r>
        <w:rPr>
          <w:sz w:val="22"/>
        </w:rPr>
        <w:t>All women with a past or current history of hyperthyroidism who are planning pregnancy should have thyroid function checked before conception and be referred for specialist advice</w:t>
      </w:r>
    </w:p>
    <w:p w:rsidR="00EB4B88" w:rsidRPr="00431DA5" w:rsidRDefault="00EB4B88" w:rsidP="00EB4B88">
      <w:pPr>
        <w:numPr>
          <w:ilvl w:val="0"/>
          <w:numId w:val="23"/>
        </w:numPr>
        <w:jc w:val="both"/>
        <w:rPr>
          <w:sz w:val="22"/>
        </w:rPr>
      </w:pPr>
      <w:r w:rsidRPr="00431DA5">
        <w:rPr>
          <w:sz w:val="22"/>
        </w:rPr>
        <w:t>The aim is for good control of hyperthyroidism on the minimum dose of carbimazole (CBZ) / propylthiouracil (PTU) possible. For those with good control of thyrotoxicosis on doses of CBZ&lt;15mg/day or PTU&lt;150mg/day, the maternal and foetal outcome is usually good. The American Thyroid Association recommends use of PTU in the first trimester (to reduce the risk of congenital anomalies) with consideration being given to conversion to CBZ in the second and third trimesters (to reduce the risk of maternal liver dysfunction) [9].</w:t>
      </w:r>
    </w:p>
    <w:p w:rsidR="00EB4B88" w:rsidRPr="008F4E44" w:rsidRDefault="00EB4B88" w:rsidP="00EB4B88">
      <w:pPr>
        <w:numPr>
          <w:ilvl w:val="0"/>
          <w:numId w:val="23"/>
        </w:numPr>
        <w:rPr>
          <w:sz w:val="22"/>
        </w:rPr>
      </w:pPr>
      <w:r w:rsidRPr="008F4E44">
        <w:rPr>
          <w:b/>
          <w:bCs/>
          <w:sz w:val="22"/>
        </w:rPr>
        <w:t xml:space="preserve">Any patient with active </w:t>
      </w:r>
      <w:r w:rsidR="00431DA5">
        <w:rPr>
          <w:b/>
          <w:bCs/>
          <w:sz w:val="22"/>
        </w:rPr>
        <w:t>Graves’</w:t>
      </w:r>
      <w:r w:rsidRPr="008F4E44">
        <w:rPr>
          <w:b/>
          <w:bCs/>
          <w:sz w:val="22"/>
        </w:rPr>
        <w:t xml:space="preserve"> Disease must have TSH-receptor antibody (TRAbs) measurement carried out at </w:t>
      </w:r>
      <w:r>
        <w:rPr>
          <w:b/>
          <w:bCs/>
          <w:sz w:val="22"/>
        </w:rPr>
        <w:t>first visit to community midwife</w:t>
      </w:r>
      <w:r w:rsidRPr="008F4E44">
        <w:rPr>
          <w:b/>
          <w:bCs/>
          <w:sz w:val="22"/>
        </w:rPr>
        <w:t xml:space="preserve"> (or pre-conception) irrespective of their thyroid function test profile.</w:t>
      </w:r>
      <w:r>
        <w:rPr>
          <w:b/>
          <w:bCs/>
          <w:sz w:val="22"/>
        </w:rPr>
        <w:t xml:space="preserve"> If TRAbs are undetectable, they do not need to be repeated.</w:t>
      </w:r>
    </w:p>
    <w:p w:rsidR="00EB4B88" w:rsidRPr="008F4E44" w:rsidRDefault="00EB4B88" w:rsidP="00EB4B88">
      <w:pPr>
        <w:rPr>
          <w:b/>
          <w:bCs/>
          <w:sz w:val="22"/>
        </w:rPr>
      </w:pPr>
    </w:p>
    <w:p w:rsidR="00EB4B88" w:rsidRPr="008F4E44" w:rsidRDefault="00EB4B88" w:rsidP="00EB4B88">
      <w:pPr>
        <w:ind w:left="360" w:hanging="360"/>
        <w:rPr>
          <w:b/>
          <w:bCs/>
          <w:sz w:val="22"/>
        </w:rPr>
      </w:pPr>
      <w:r w:rsidRPr="008F4E44">
        <w:rPr>
          <w:b/>
          <w:bCs/>
          <w:sz w:val="22"/>
        </w:rPr>
        <w:t xml:space="preserve">Patients with detectable TRAbs </w:t>
      </w:r>
    </w:p>
    <w:p w:rsidR="00EB4B88" w:rsidRPr="00990081" w:rsidRDefault="00EB4B88" w:rsidP="00EB4B88">
      <w:pPr>
        <w:numPr>
          <w:ilvl w:val="0"/>
          <w:numId w:val="24"/>
        </w:numPr>
        <w:rPr>
          <w:sz w:val="22"/>
        </w:rPr>
      </w:pPr>
      <w:r w:rsidRPr="008F4E44">
        <w:rPr>
          <w:sz w:val="22"/>
        </w:rPr>
        <w:t>The Endocrinologist and Obstetrici</w:t>
      </w:r>
      <w:r w:rsidRPr="00990081">
        <w:rPr>
          <w:sz w:val="22"/>
        </w:rPr>
        <w:t xml:space="preserve">an should be informed of any patient with detectable TRAbs. </w:t>
      </w:r>
    </w:p>
    <w:p w:rsidR="00EB4B88" w:rsidRPr="00990081" w:rsidRDefault="00EB4B88" w:rsidP="00EB4B88">
      <w:pPr>
        <w:numPr>
          <w:ilvl w:val="0"/>
          <w:numId w:val="24"/>
        </w:numPr>
        <w:rPr>
          <w:sz w:val="22"/>
        </w:rPr>
      </w:pPr>
      <w:r w:rsidRPr="00990081">
        <w:rPr>
          <w:sz w:val="22"/>
        </w:rPr>
        <w:t>Women with detectable TRAb should be advised to deliver in hospital.</w:t>
      </w:r>
    </w:p>
    <w:p w:rsidR="00EB4B88" w:rsidRDefault="00EB4B88" w:rsidP="00EB4B88">
      <w:pPr>
        <w:numPr>
          <w:ilvl w:val="0"/>
          <w:numId w:val="24"/>
        </w:numPr>
        <w:rPr>
          <w:sz w:val="22"/>
        </w:rPr>
      </w:pPr>
      <w:r w:rsidRPr="00990081">
        <w:rPr>
          <w:sz w:val="22"/>
        </w:rPr>
        <w:t xml:space="preserve">Further TRAb measurements and ultrasound scans will </w:t>
      </w:r>
      <w:r>
        <w:rPr>
          <w:sz w:val="22"/>
        </w:rPr>
        <w:t>be required, the frequency of which will be advised by the Endocrinologist and Obstetrician. Typically a scan will be required each trimester, in addition to growth scans at 28 and 34 weeks (more often if control is poor).</w:t>
      </w:r>
    </w:p>
    <w:p w:rsidR="00EB4B88" w:rsidRDefault="00EB4B88" w:rsidP="00EB4B88">
      <w:pPr>
        <w:numPr>
          <w:ilvl w:val="0"/>
          <w:numId w:val="24"/>
        </w:numPr>
        <w:rPr>
          <w:sz w:val="22"/>
        </w:rPr>
      </w:pPr>
      <w:r>
        <w:rPr>
          <w:sz w:val="22"/>
        </w:rPr>
        <w:t xml:space="preserve">Paediatricians should be informed of delivery within the first 12 hours of life and the consultant obstetrician will document this in the neonatal management plan during the antenatal period. The infant should be seen within the first 24 hours of life if TRAb are detectable at 36 weeks or if the TFTs from cord blood are abnormal </w:t>
      </w:r>
    </w:p>
    <w:p w:rsidR="00EB4B88" w:rsidRDefault="00EB4B88" w:rsidP="00EB4B88">
      <w:pPr>
        <w:numPr>
          <w:ilvl w:val="0"/>
          <w:numId w:val="24"/>
        </w:numPr>
        <w:rPr>
          <w:sz w:val="22"/>
        </w:rPr>
      </w:pPr>
      <w:r>
        <w:rPr>
          <w:sz w:val="22"/>
        </w:rPr>
        <w:t>Cord blood should be taken for TSH, FT4 and Total T3 at delivery and the baby should have a resting heart rate checked and remain in hospital for at least 24 hours. Further repeat TSH, Free T4 and total T3 in the neonate should be carried out on the advice of the neonatal team.</w:t>
      </w:r>
    </w:p>
    <w:p w:rsidR="00EB4B88" w:rsidRDefault="00EB4B88" w:rsidP="00EB4B88"/>
    <w:p w:rsidR="00EB4B88" w:rsidRDefault="00EB4B88" w:rsidP="00EB4B88">
      <w:pPr>
        <w:pStyle w:val="Heading6"/>
        <w:rPr>
          <w:vanish w:val="0"/>
        </w:rPr>
      </w:pPr>
      <w:r>
        <w:rPr>
          <w:vanish w:val="0"/>
        </w:rPr>
        <w:t xml:space="preserve">CBZ/PTU therapy: Post </w:t>
      </w:r>
      <w:smartTag w:uri="urn:schemas-microsoft-com:office:smarttags" w:element="City">
        <w:smartTag w:uri="urn:schemas-microsoft-com:office:smarttags" w:element="place">
          <w:r>
            <w:rPr>
              <w:vanish w:val="0"/>
            </w:rPr>
            <w:t>Natal</w:t>
          </w:r>
        </w:smartTag>
      </w:smartTag>
      <w:r>
        <w:rPr>
          <w:vanish w:val="0"/>
        </w:rPr>
        <w:t xml:space="preserve"> Management</w:t>
      </w:r>
    </w:p>
    <w:p w:rsidR="00EB4B88" w:rsidRPr="008A761C" w:rsidRDefault="00EB4B88" w:rsidP="00EB4B88">
      <w:pPr>
        <w:numPr>
          <w:ilvl w:val="0"/>
          <w:numId w:val="25"/>
        </w:numPr>
        <w:rPr>
          <w:sz w:val="22"/>
        </w:rPr>
      </w:pPr>
      <w:r>
        <w:rPr>
          <w:sz w:val="22"/>
        </w:rPr>
        <w:t>T</w:t>
      </w:r>
      <w:r w:rsidRPr="008A761C">
        <w:rPr>
          <w:sz w:val="22"/>
        </w:rPr>
        <w:t xml:space="preserve">he endocrinologist will document a plan for the postnatal period as some women will not require CBZ/PTU treatment </w:t>
      </w:r>
      <w:r>
        <w:rPr>
          <w:sz w:val="22"/>
        </w:rPr>
        <w:t xml:space="preserve">postnatally. </w:t>
      </w:r>
      <w:r w:rsidRPr="008A761C">
        <w:rPr>
          <w:sz w:val="22"/>
        </w:rPr>
        <w:t xml:space="preserve">  </w:t>
      </w:r>
      <w:r>
        <w:rPr>
          <w:sz w:val="22"/>
        </w:rPr>
        <w:t>However,</w:t>
      </w:r>
      <w:r w:rsidRPr="008A761C">
        <w:rPr>
          <w:sz w:val="22"/>
        </w:rPr>
        <w:t xml:space="preserve"> all </w:t>
      </w:r>
      <w:r>
        <w:rPr>
          <w:sz w:val="22"/>
        </w:rPr>
        <w:t xml:space="preserve">patients </w:t>
      </w:r>
      <w:r w:rsidRPr="008A761C">
        <w:rPr>
          <w:sz w:val="22"/>
        </w:rPr>
        <w:t xml:space="preserve">should be seen in the Endocrine Clinic 8-12 weeks post partum </w:t>
      </w:r>
      <w:r>
        <w:rPr>
          <w:sz w:val="22"/>
        </w:rPr>
        <w:t>(</w:t>
      </w:r>
      <w:r w:rsidRPr="008A761C">
        <w:rPr>
          <w:sz w:val="22"/>
        </w:rPr>
        <w:t xml:space="preserve">or sooner if </w:t>
      </w:r>
      <w:r>
        <w:rPr>
          <w:sz w:val="22"/>
        </w:rPr>
        <w:t>symptomatic)</w:t>
      </w:r>
      <w:r w:rsidRPr="008A761C">
        <w:rPr>
          <w:sz w:val="22"/>
        </w:rPr>
        <w:t>.</w:t>
      </w:r>
      <w:r>
        <w:rPr>
          <w:sz w:val="22"/>
        </w:rPr>
        <w:t xml:space="preserve"> V</w:t>
      </w:r>
      <w:r w:rsidRPr="008A761C">
        <w:rPr>
          <w:sz w:val="22"/>
        </w:rPr>
        <w:t>igilan</w:t>
      </w:r>
      <w:r>
        <w:rPr>
          <w:sz w:val="22"/>
        </w:rPr>
        <w:t xml:space="preserve">ce </w:t>
      </w:r>
      <w:r w:rsidRPr="008A761C">
        <w:rPr>
          <w:sz w:val="22"/>
        </w:rPr>
        <w:t>for sign</w:t>
      </w:r>
      <w:r>
        <w:rPr>
          <w:sz w:val="22"/>
        </w:rPr>
        <w:t>s</w:t>
      </w:r>
      <w:r w:rsidRPr="008A761C">
        <w:rPr>
          <w:sz w:val="22"/>
        </w:rPr>
        <w:t xml:space="preserve"> of postnatal thyroid storm</w:t>
      </w:r>
      <w:r>
        <w:rPr>
          <w:sz w:val="22"/>
        </w:rPr>
        <w:t xml:space="preserve"> is essential.</w:t>
      </w:r>
    </w:p>
    <w:p w:rsidR="00EB4B88" w:rsidRDefault="00EB4B88" w:rsidP="00EB4B88">
      <w:pPr>
        <w:numPr>
          <w:ilvl w:val="0"/>
          <w:numId w:val="25"/>
        </w:numPr>
        <w:rPr>
          <w:sz w:val="22"/>
        </w:rPr>
      </w:pPr>
      <w:r w:rsidRPr="008A761C">
        <w:rPr>
          <w:sz w:val="22"/>
        </w:rPr>
        <w:t xml:space="preserve">CBZ is safe in breast feeding in doses at or below </w:t>
      </w:r>
      <w:r>
        <w:rPr>
          <w:sz w:val="22"/>
        </w:rPr>
        <w:t>15mg daily and PTU at or below 150 mg daily.</w:t>
      </w:r>
    </w:p>
    <w:p w:rsidR="00EB4B88" w:rsidRPr="00EB4B88" w:rsidRDefault="00EB4B88" w:rsidP="00EB4B88"/>
    <w:p w:rsidR="00EB4B88" w:rsidRDefault="00EB4B88">
      <w:pPr>
        <w:pStyle w:val="Heading2"/>
        <w:rPr>
          <w:color w:val="FF0000"/>
          <w:sz w:val="22"/>
        </w:rPr>
      </w:pPr>
      <w:r w:rsidRPr="00EB4B88">
        <w:rPr>
          <w:color w:val="FF0000"/>
          <w:sz w:val="22"/>
          <w:highlight w:val="yellow"/>
        </w:rPr>
        <w:t>PRIMARY CARE MANAGEMENT</w:t>
      </w:r>
    </w:p>
    <w:p w:rsidR="00A56CDD" w:rsidRDefault="00A56CDD">
      <w:pPr>
        <w:rPr>
          <w:color w:val="000099"/>
          <w:sz w:val="22"/>
          <w:szCs w:val="28"/>
        </w:rPr>
      </w:pPr>
    </w:p>
    <w:p w:rsidR="00A56CDD" w:rsidRDefault="00A56CDD">
      <w:pPr>
        <w:pStyle w:val="Heading2"/>
        <w:rPr>
          <w:sz w:val="28"/>
        </w:rPr>
      </w:pPr>
      <w:r>
        <w:rPr>
          <w:sz w:val="28"/>
        </w:rPr>
        <w:t>Hypothyroidism and Pregnancy</w:t>
      </w:r>
    </w:p>
    <w:p w:rsidR="00A56CDD" w:rsidRDefault="00A56CDD" w:rsidP="006060EF">
      <w:pPr>
        <w:jc w:val="both"/>
        <w:rPr>
          <w:sz w:val="22"/>
        </w:rPr>
      </w:pPr>
      <w:r>
        <w:rPr>
          <w:sz w:val="22"/>
        </w:rPr>
        <w:t>Overt untreated hypothyroidism is associated with f</w:t>
      </w:r>
      <w:r w:rsidR="003D05F5">
        <w:rPr>
          <w:sz w:val="22"/>
        </w:rPr>
        <w:t>o</w:t>
      </w:r>
      <w:r>
        <w:rPr>
          <w:sz w:val="22"/>
        </w:rPr>
        <w:t xml:space="preserve">etal loss, </w:t>
      </w:r>
      <w:r w:rsidR="00C02C13">
        <w:rPr>
          <w:sz w:val="22"/>
        </w:rPr>
        <w:t xml:space="preserve">gestational hypertension, placental abruption, low birthweight babies, </w:t>
      </w:r>
      <w:r>
        <w:rPr>
          <w:sz w:val="22"/>
        </w:rPr>
        <w:t>poor perinatal outcome and severe neurodevelopmental delay. The developing f</w:t>
      </w:r>
      <w:r w:rsidR="0024173F">
        <w:rPr>
          <w:sz w:val="22"/>
        </w:rPr>
        <w:t>o</w:t>
      </w:r>
      <w:r>
        <w:rPr>
          <w:sz w:val="22"/>
        </w:rPr>
        <w:t>etal brain requires optimal thyroxine levels from early in the first trimester of pregnancy</w:t>
      </w:r>
      <w:r w:rsidR="003D05F5">
        <w:rPr>
          <w:sz w:val="22"/>
        </w:rPr>
        <w:t>,</w:t>
      </w:r>
      <w:r w:rsidR="00540B75">
        <w:rPr>
          <w:sz w:val="22"/>
        </w:rPr>
        <w:t xml:space="preserve"> before f</w:t>
      </w:r>
      <w:r w:rsidR="00C6622C">
        <w:rPr>
          <w:sz w:val="22"/>
        </w:rPr>
        <w:t>o</w:t>
      </w:r>
      <w:r w:rsidR="00540B75">
        <w:rPr>
          <w:sz w:val="22"/>
        </w:rPr>
        <w:t>etal production o</w:t>
      </w:r>
      <w:r w:rsidR="003D05F5">
        <w:rPr>
          <w:sz w:val="22"/>
        </w:rPr>
        <w:t>f</w:t>
      </w:r>
      <w:r w:rsidR="00540B75">
        <w:rPr>
          <w:sz w:val="22"/>
        </w:rPr>
        <w:t xml:space="preserve"> th</w:t>
      </w:r>
      <w:r w:rsidR="003D05F5">
        <w:rPr>
          <w:sz w:val="22"/>
        </w:rPr>
        <w:t>y</w:t>
      </w:r>
      <w:r w:rsidR="00540B75">
        <w:rPr>
          <w:sz w:val="22"/>
        </w:rPr>
        <w:t xml:space="preserve">roid hormones begins </w:t>
      </w:r>
      <w:r w:rsidR="003D05F5">
        <w:rPr>
          <w:sz w:val="22"/>
        </w:rPr>
        <w:t xml:space="preserve">at </w:t>
      </w:r>
      <w:r w:rsidR="00540B75">
        <w:rPr>
          <w:sz w:val="22"/>
        </w:rPr>
        <w:t>12 weeks gestation</w:t>
      </w:r>
      <w:r>
        <w:rPr>
          <w:sz w:val="22"/>
        </w:rPr>
        <w:t xml:space="preserve">. </w:t>
      </w:r>
      <w:r w:rsidR="00540B75">
        <w:rPr>
          <w:sz w:val="22"/>
        </w:rPr>
        <w:t>Ther</w:t>
      </w:r>
      <w:r w:rsidR="003D05F5">
        <w:rPr>
          <w:sz w:val="22"/>
        </w:rPr>
        <w:t>e</w:t>
      </w:r>
      <w:r w:rsidR="00540B75">
        <w:rPr>
          <w:sz w:val="22"/>
        </w:rPr>
        <w:t xml:space="preserve">fore in </w:t>
      </w:r>
      <w:r>
        <w:rPr>
          <w:sz w:val="22"/>
        </w:rPr>
        <w:t>pregnancy there is an increased requirement for T4</w:t>
      </w:r>
      <w:r w:rsidR="0024173F">
        <w:rPr>
          <w:sz w:val="22"/>
        </w:rPr>
        <w:t xml:space="preserve"> </w:t>
      </w:r>
      <w:r>
        <w:rPr>
          <w:sz w:val="22"/>
        </w:rPr>
        <w:t xml:space="preserve">[1,2,3]. The offspring of women whose free thyroxine levels are in the lowest 10% of the reference range in the first trimester of pregnancy have </w:t>
      </w:r>
      <w:r w:rsidR="00540B75">
        <w:rPr>
          <w:sz w:val="22"/>
        </w:rPr>
        <w:t xml:space="preserve">been shown to be at risk of </w:t>
      </w:r>
      <w:r>
        <w:rPr>
          <w:sz w:val="22"/>
        </w:rPr>
        <w:t>significant neurodevelopmental delay at the age of two years [4].</w:t>
      </w:r>
      <w:r w:rsidR="00CD3BD7">
        <w:rPr>
          <w:sz w:val="22"/>
        </w:rPr>
        <w:t xml:space="preserve"> Most cases have already been diagnosed prenatally and will be on replacement therapy.  If replacement is adequate, outcomes are usually very good.  The commonest causes of hypothyroidism in pregnancy are Hashimoto’s thyroiditis and treated </w:t>
      </w:r>
      <w:r w:rsidR="00431DA5">
        <w:rPr>
          <w:sz w:val="22"/>
        </w:rPr>
        <w:t>Graves</w:t>
      </w:r>
      <w:r w:rsidR="00CD3BD7">
        <w:rPr>
          <w:sz w:val="22"/>
        </w:rPr>
        <w:t>’ disease.</w:t>
      </w:r>
    </w:p>
    <w:p w:rsidR="00A56CDD" w:rsidRDefault="00A56CDD">
      <w:pPr>
        <w:rPr>
          <w:b/>
          <w:bCs/>
          <w:sz w:val="22"/>
        </w:rPr>
      </w:pPr>
    </w:p>
    <w:p w:rsidR="00670270" w:rsidRPr="000066CF" w:rsidRDefault="00A56CDD" w:rsidP="00670270">
      <w:pPr>
        <w:autoSpaceDE w:val="0"/>
        <w:autoSpaceDN w:val="0"/>
        <w:adjustRightInd w:val="0"/>
        <w:jc w:val="both"/>
        <w:rPr>
          <w:rFonts w:ascii="AdvTimRomLiebert" w:hAnsi="AdvTimRomLiebert" w:cs="AdvTimRomLiebert"/>
          <w:sz w:val="22"/>
          <w:szCs w:val="22"/>
          <w:lang w:eastAsia="en-GB"/>
        </w:rPr>
      </w:pPr>
      <w:r>
        <w:rPr>
          <w:b/>
          <w:bCs/>
          <w:sz w:val="22"/>
        </w:rPr>
        <w:t>The increase in serum free thyroxine (FT4) levels in women early in normal pregnancy does not occur</w:t>
      </w:r>
      <w:r w:rsidR="00540B75">
        <w:rPr>
          <w:b/>
          <w:bCs/>
          <w:sz w:val="22"/>
        </w:rPr>
        <w:t xml:space="preserve"> in women who are hypothyroid</w:t>
      </w:r>
      <w:r>
        <w:rPr>
          <w:b/>
          <w:bCs/>
          <w:sz w:val="22"/>
        </w:rPr>
        <w:t xml:space="preserve">. It is thus very important to ensure adequate thyroxine replacement from as early as 5 weeks gestation [5]. It is recommended that </w:t>
      </w:r>
      <w:r>
        <w:rPr>
          <w:b/>
          <w:bCs/>
          <w:color w:val="000000"/>
          <w:sz w:val="22"/>
          <w:szCs w:val="28"/>
        </w:rPr>
        <w:t>patients with established hypothyroidism should have the T4 dose increased by 25 micrograms when a pregnancy is confirmed</w:t>
      </w:r>
      <w:r w:rsidR="00C6622C" w:rsidRPr="00863CF5">
        <w:rPr>
          <w:b/>
          <w:bCs/>
          <w:color w:val="000000"/>
          <w:sz w:val="22"/>
          <w:szCs w:val="28"/>
        </w:rPr>
        <w:t>.</w:t>
      </w:r>
      <w:r w:rsidR="00670270" w:rsidRPr="00863CF5">
        <w:rPr>
          <w:b/>
          <w:bCs/>
          <w:color w:val="000000"/>
          <w:sz w:val="22"/>
          <w:szCs w:val="28"/>
        </w:rPr>
        <w:t xml:space="preserve"> </w:t>
      </w:r>
      <w:r w:rsidR="00670270" w:rsidRPr="00863CF5">
        <w:rPr>
          <w:b/>
          <w:sz w:val="22"/>
          <w:szCs w:val="22"/>
        </w:rPr>
        <w:t xml:space="preserve">The recommended </w:t>
      </w:r>
      <w:r w:rsidR="00670270" w:rsidRPr="00863CF5">
        <w:rPr>
          <w:b/>
          <w:sz w:val="22"/>
          <w:szCs w:val="22"/>
        </w:rPr>
        <w:lastRenderedPageBreak/>
        <w:t xml:space="preserve">treatment </w:t>
      </w:r>
      <w:r w:rsidR="00670270" w:rsidRPr="00863CF5">
        <w:rPr>
          <w:b/>
          <w:sz w:val="22"/>
          <w:szCs w:val="22"/>
          <w:lang w:eastAsia="en-GB"/>
        </w:rPr>
        <w:t>of maternal hypothyroidism is administration of oral LT4. Other thyroid preparations such as T3 or desiccated thyroid should not be used in pregnancy as the f</w:t>
      </w:r>
      <w:r w:rsidR="00E561CE" w:rsidRPr="00863CF5">
        <w:rPr>
          <w:b/>
          <w:sz w:val="22"/>
          <w:szCs w:val="22"/>
          <w:lang w:eastAsia="en-GB"/>
        </w:rPr>
        <w:t>o</w:t>
      </w:r>
      <w:r w:rsidR="00670270" w:rsidRPr="00863CF5">
        <w:rPr>
          <w:b/>
          <w:sz w:val="22"/>
          <w:szCs w:val="22"/>
          <w:lang w:eastAsia="en-GB"/>
        </w:rPr>
        <w:t>etal CNS is relatively impermeable to T3.</w:t>
      </w:r>
    </w:p>
    <w:p w:rsidR="008B0BC0" w:rsidRDefault="008B0BC0"/>
    <w:p w:rsidR="00A56CDD" w:rsidRDefault="00A56CDD">
      <w:pPr>
        <w:pStyle w:val="Heading7"/>
        <w:rPr>
          <w:color w:val="000000"/>
          <w:sz w:val="22"/>
        </w:rPr>
      </w:pPr>
      <w:r>
        <w:rPr>
          <w:color w:val="000000"/>
          <w:sz w:val="22"/>
        </w:rPr>
        <w:t>Assessing Hypothyroidism in Pregnancy</w:t>
      </w:r>
    </w:p>
    <w:p w:rsidR="00540B75" w:rsidRPr="00540B75" w:rsidRDefault="00540B75" w:rsidP="00540B75"/>
    <w:p w:rsidR="00A56CDD" w:rsidRDefault="00A56CDD" w:rsidP="006060EF">
      <w:pPr>
        <w:numPr>
          <w:ilvl w:val="0"/>
          <w:numId w:val="26"/>
        </w:numPr>
        <w:ind w:hanging="720"/>
        <w:jc w:val="both"/>
        <w:rPr>
          <w:sz w:val="22"/>
        </w:rPr>
      </w:pPr>
      <w:r>
        <w:rPr>
          <w:sz w:val="22"/>
        </w:rPr>
        <w:t xml:space="preserve">Ideally women with hypothyroidism should be </w:t>
      </w:r>
      <w:r w:rsidR="00841C28">
        <w:rPr>
          <w:sz w:val="22"/>
        </w:rPr>
        <w:t>reviewed</w:t>
      </w:r>
      <w:r w:rsidR="00540B75">
        <w:rPr>
          <w:sz w:val="22"/>
        </w:rPr>
        <w:t xml:space="preserve"> by their GP </w:t>
      </w:r>
      <w:r>
        <w:rPr>
          <w:sz w:val="22"/>
        </w:rPr>
        <w:t xml:space="preserve">pre-pregnancy to ensure that they are euthyroid. </w:t>
      </w:r>
      <w:r w:rsidR="00CD3BD7">
        <w:rPr>
          <w:sz w:val="22"/>
        </w:rPr>
        <w:t xml:space="preserve">All women with a history of hypothyroidism should be discussed with/referred to a consultant obstetrician. </w:t>
      </w:r>
      <w:r>
        <w:rPr>
          <w:sz w:val="22"/>
        </w:rPr>
        <w:t xml:space="preserve">They should also be encouraged to present as soon as they become pregnant in order that their thyroxine dose may be increased and TSH and FT4 monitored regularly. </w:t>
      </w:r>
      <w:r w:rsidR="00670270">
        <w:rPr>
          <w:sz w:val="22"/>
        </w:rPr>
        <w:t>Ideally, TSH should be maintained below 2</w:t>
      </w:r>
      <w:r w:rsidR="00783BB6">
        <w:rPr>
          <w:sz w:val="22"/>
        </w:rPr>
        <w:t>.5</w:t>
      </w:r>
      <w:r w:rsidR="00670270">
        <w:rPr>
          <w:sz w:val="22"/>
        </w:rPr>
        <w:t xml:space="preserve">mU/l. </w:t>
      </w:r>
      <w:r>
        <w:rPr>
          <w:sz w:val="22"/>
        </w:rPr>
        <w:t>For patients with established hypothyroidism the ideal monitoring regimen is thus:-</w:t>
      </w:r>
    </w:p>
    <w:p w:rsidR="00A56CDD" w:rsidRDefault="00A56CDD">
      <w:pPr>
        <w:rPr>
          <w:sz w:val="22"/>
        </w:rPr>
      </w:pPr>
    </w:p>
    <w:p w:rsidR="00A56CDD" w:rsidRDefault="00CD3BD7">
      <w:pPr>
        <w:numPr>
          <w:ilvl w:val="0"/>
          <w:numId w:val="21"/>
        </w:numPr>
        <w:rPr>
          <w:color w:val="000000"/>
          <w:sz w:val="22"/>
          <w:szCs w:val="28"/>
        </w:rPr>
      </w:pPr>
      <w:r>
        <w:rPr>
          <w:color w:val="000000"/>
          <w:sz w:val="22"/>
          <w:szCs w:val="28"/>
        </w:rPr>
        <w:t>TFTs</w:t>
      </w:r>
      <w:r w:rsidR="00841C28">
        <w:rPr>
          <w:color w:val="000000"/>
          <w:sz w:val="22"/>
          <w:szCs w:val="28"/>
        </w:rPr>
        <w:t xml:space="preserve"> </w:t>
      </w:r>
      <w:r>
        <w:rPr>
          <w:color w:val="000000"/>
          <w:sz w:val="22"/>
          <w:szCs w:val="28"/>
        </w:rPr>
        <w:t>b</w:t>
      </w:r>
      <w:r w:rsidR="00A56CDD">
        <w:rPr>
          <w:color w:val="000000"/>
          <w:sz w:val="22"/>
          <w:szCs w:val="28"/>
        </w:rPr>
        <w:t>efore conception (if possible)</w:t>
      </w:r>
    </w:p>
    <w:p w:rsidR="00A56CDD" w:rsidRDefault="00CD3BD7">
      <w:pPr>
        <w:numPr>
          <w:ilvl w:val="0"/>
          <w:numId w:val="10"/>
        </w:numPr>
        <w:rPr>
          <w:color w:val="000000"/>
          <w:sz w:val="22"/>
          <w:szCs w:val="28"/>
        </w:rPr>
      </w:pPr>
      <w:r>
        <w:rPr>
          <w:color w:val="000000"/>
          <w:sz w:val="22"/>
          <w:szCs w:val="28"/>
        </w:rPr>
        <w:t>TFTs a</w:t>
      </w:r>
      <w:r w:rsidR="00A56CDD">
        <w:rPr>
          <w:color w:val="000000"/>
          <w:sz w:val="22"/>
          <w:szCs w:val="28"/>
        </w:rPr>
        <w:t xml:space="preserve">t diagnosis of pregnancy or at antenatal </w:t>
      </w:r>
      <w:r w:rsidR="005F6323">
        <w:rPr>
          <w:color w:val="000000"/>
          <w:sz w:val="22"/>
          <w:szCs w:val="28"/>
        </w:rPr>
        <w:t>booking – but do not wait for these results before increasin</w:t>
      </w:r>
      <w:r w:rsidR="00783BB6">
        <w:rPr>
          <w:color w:val="000000"/>
          <w:sz w:val="22"/>
          <w:szCs w:val="28"/>
        </w:rPr>
        <w:t>g the levothyroxine dose by 25micrograms</w:t>
      </w:r>
      <w:r w:rsidR="005F6323">
        <w:rPr>
          <w:color w:val="000000"/>
          <w:sz w:val="22"/>
          <w:szCs w:val="28"/>
        </w:rPr>
        <w:t xml:space="preserve"> as soon as the pregnancy is confirmed</w:t>
      </w:r>
    </w:p>
    <w:p w:rsidR="00A56CDD" w:rsidRDefault="00CD3BD7">
      <w:pPr>
        <w:numPr>
          <w:ilvl w:val="0"/>
          <w:numId w:val="10"/>
        </w:numPr>
        <w:rPr>
          <w:color w:val="000000"/>
          <w:sz w:val="22"/>
          <w:szCs w:val="28"/>
        </w:rPr>
      </w:pPr>
      <w:r>
        <w:rPr>
          <w:color w:val="000000"/>
          <w:sz w:val="22"/>
          <w:szCs w:val="28"/>
        </w:rPr>
        <w:t xml:space="preserve">TFTs </w:t>
      </w:r>
      <w:r w:rsidR="00A56CDD">
        <w:rPr>
          <w:color w:val="000000"/>
          <w:sz w:val="22"/>
          <w:szCs w:val="28"/>
        </w:rPr>
        <w:t xml:space="preserve">2 weeks after the dose of T4 has been increased </w:t>
      </w:r>
    </w:p>
    <w:p w:rsidR="00A56CDD" w:rsidRDefault="00CD3BD7">
      <w:pPr>
        <w:numPr>
          <w:ilvl w:val="0"/>
          <w:numId w:val="10"/>
        </w:numPr>
        <w:rPr>
          <w:color w:val="000000"/>
          <w:sz w:val="22"/>
          <w:szCs w:val="28"/>
        </w:rPr>
      </w:pPr>
      <w:r>
        <w:rPr>
          <w:color w:val="000000"/>
          <w:sz w:val="22"/>
          <w:szCs w:val="28"/>
        </w:rPr>
        <w:t>TFTs a</w:t>
      </w:r>
      <w:r w:rsidR="00A56CDD">
        <w:rPr>
          <w:color w:val="000000"/>
          <w:sz w:val="22"/>
          <w:szCs w:val="28"/>
        </w:rPr>
        <w:t>t least once in each trimester</w:t>
      </w:r>
    </w:p>
    <w:p w:rsidR="00A56CDD" w:rsidRDefault="00CD3BD7">
      <w:pPr>
        <w:numPr>
          <w:ilvl w:val="0"/>
          <w:numId w:val="10"/>
        </w:numPr>
        <w:rPr>
          <w:color w:val="000000"/>
          <w:sz w:val="22"/>
          <w:szCs w:val="28"/>
        </w:rPr>
      </w:pPr>
      <w:r>
        <w:rPr>
          <w:color w:val="000000"/>
          <w:sz w:val="22"/>
          <w:szCs w:val="28"/>
        </w:rPr>
        <w:t>TFTs</w:t>
      </w:r>
      <w:r w:rsidR="00841C28">
        <w:rPr>
          <w:color w:val="000000"/>
          <w:sz w:val="22"/>
          <w:szCs w:val="28"/>
        </w:rPr>
        <w:t xml:space="preserve"> </w:t>
      </w:r>
      <w:r w:rsidR="00A56CDD">
        <w:rPr>
          <w:color w:val="000000"/>
          <w:sz w:val="22"/>
          <w:szCs w:val="28"/>
        </w:rPr>
        <w:t>2-6 weeks postpartum</w:t>
      </w:r>
    </w:p>
    <w:p w:rsidR="00CD3BD7" w:rsidRDefault="00CD3BD7">
      <w:pPr>
        <w:numPr>
          <w:ilvl w:val="0"/>
          <w:numId w:val="10"/>
        </w:numPr>
        <w:rPr>
          <w:color w:val="000000"/>
          <w:sz w:val="22"/>
          <w:szCs w:val="28"/>
        </w:rPr>
      </w:pPr>
      <w:r>
        <w:rPr>
          <w:color w:val="000000"/>
          <w:sz w:val="22"/>
          <w:szCs w:val="28"/>
        </w:rPr>
        <w:t>Women with adequately treated hypothyroidism d</w:t>
      </w:r>
      <w:r w:rsidR="00841C28">
        <w:rPr>
          <w:color w:val="000000"/>
          <w:sz w:val="22"/>
          <w:szCs w:val="28"/>
        </w:rPr>
        <w:t>o</w:t>
      </w:r>
      <w:r>
        <w:rPr>
          <w:color w:val="000000"/>
          <w:sz w:val="22"/>
          <w:szCs w:val="28"/>
        </w:rPr>
        <w:t xml:space="preserve"> not require serial growth scans during pregnancy</w:t>
      </w:r>
    </w:p>
    <w:p w:rsidR="00CD3BD7" w:rsidRDefault="00CD3BD7">
      <w:pPr>
        <w:numPr>
          <w:ilvl w:val="0"/>
          <w:numId w:val="10"/>
        </w:numPr>
        <w:rPr>
          <w:color w:val="000000"/>
          <w:sz w:val="22"/>
          <w:szCs w:val="28"/>
        </w:rPr>
      </w:pPr>
      <w:r>
        <w:rPr>
          <w:color w:val="000000"/>
          <w:sz w:val="22"/>
          <w:szCs w:val="28"/>
        </w:rPr>
        <w:t>If hypothyroidism has been poorly controlled, the obstetrician will consider fetal growth assessment in the third trimester.</w:t>
      </w:r>
    </w:p>
    <w:p w:rsidR="00540B75" w:rsidRDefault="00540B75" w:rsidP="00C6622C">
      <w:pPr>
        <w:ind w:left="720"/>
        <w:rPr>
          <w:color w:val="000000"/>
          <w:sz w:val="22"/>
          <w:szCs w:val="28"/>
        </w:rPr>
      </w:pPr>
    </w:p>
    <w:p w:rsidR="00A56CDD" w:rsidRDefault="00A56CDD" w:rsidP="00C6622C">
      <w:pPr>
        <w:numPr>
          <w:ilvl w:val="0"/>
          <w:numId w:val="26"/>
        </w:numPr>
        <w:ind w:hanging="720"/>
        <w:rPr>
          <w:color w:val="000000"/>
          <w:sz w:val="22"/>
          <w:szCs w:val="28"/>
        </w:rPr>
      </w:pPr>
      <w:bookmarkStart w:id="0" w:name="_Hlk529731778"/>
      <w:r>
        <w:rPr>
          <w:b/>
          <w:bCs/>
          <w:sz w:val="22"/>
        </w:rPr>
        <w:t xml:space="preserve">Patients with a history of </w:t>
      </w:r>
      <w:r w:rsidR="005F6323">
        <w:rPr>
          <w:b/>
          <w:bCs/>
          <w:sz w:val="22"/>
        </w:rPr>
        <w:t>Graves’ disease</w:t>
      </w:r>
      <w:r>
        <w:rPr>
          <w:b/>
          <w:bCs/>
          <w:sz w:val="22"/>
        </w:rPr>
        <w:t xml:space="preserve"> who are euthyroid or hypothyroid through radioiodine treatment or surgery </w:t>
      </w:r>
      <w:bookmarkEnd w:id="0"/>
      <w:r>
        <w:rPr>
          <w:b/>
          <w:bCs/>
          <w:sz w:val="22"/>
        </w:rPr>
        <w:t xml:space="preserve">must have TSH-receptor antibodies (TRAbs) measured early in pregnancy irrespective of the thyroid function test profile. </w:t>
      </w:r>
      <w:r w:rsidR="00D25082">
        <w:rPr>
          <w:b/>
          <w:bCs/>
          <w:sz w:val="22"/>
        </w:rPr>
        <w:t xml:space="preserve">Women are advised not to conceive within 6 months of radio-iodine therapy. </w:t>
      </w:r>
    </w:p>
    <w:p w:rsidR="00A56CDD" w:rsidRDefault="00A56CDD">
      <w:pPr>
        <w:ind w:left="720"/>
        <w:rPr>
          <w:b/>
          <w:bCs/>
          <w:i/>
          <w:iCs/>
          <w:sz w:val="22"/>
        </w:rPr>
      </w:pPr>
    </w:p>
    <w:p w:rsidR="00A56CDD" w:rsidRPr="0028710F" w:rsidRDefault="00A56CDD">
      <w:pPr>
        <w:ind w:left="720"/>
        <w:rPr>
          <w:bCs/>
          <w:sz w:val="22"/>
        </w:rPr>
      </w:pPr>
      <w:r w:rsidRPr="00E80391">
        <w:rPr>
          <w:b/>
          <w:bCs/>
          <w:sz w:val="22"/>
        </w:rPr>
        <w:t>If TRAbs are undetectable</w:t>
      </w:r>
      <w:r w:rsidRPr="00A16443">
        <w:rPr>
          <w:bCs/>
          <w:sz w:val="22"/>
        </w:rPr>
        <w:t xml:space="preserve"> </w:t>
      </w:r>
      <w:r w:rsidRPr="0028710F">
        <w:rPr>
          <w:bCs/>
          <w:iCs/>
          <w:sz w:val="22"/>
        </w:rPr>
        <w:t>they do not need to be repeated</w:t>
      </w:r>
      <w:r w:rsidRPr="0028710F">
        <w:rPr>
          <w:bCs/>
          <w:sz w:val="22"/>
        </w:rPr>
        <w:t xml:space="preserve">. </w:t>
      </w:r>
    </w:p>
    <w:p w:rsidR="00A56CDD" w:rsidRPr="0028710F" w:rsidRDefault="00A56CDD">
      <w:pPr>
        <w:ind w:left="720"/>
        <w:rPr>
          <w:bCs/>
          <w:iCs/>
          <w:sz w:val="22"/>
        </w:rPr>
      </w:pPr>
    </w:p>
    <w:p w:rsidR="00A56CDD" w:rsidRPr="0028710F" w:rsidRDefault="00A56CDD" w:rsidP="006060EF">
      <w:pPr>
        <w:ind w:left="720"/>
        <w:jc w:val="both"/>
        <w:rPr>
          <w:bCs/>
          <w:iCs/>
          <w:sz w:val="22"/>
        </w:rPr>
      </w:pPr>
      <w:r w:rsidRPr="00E80391">
        <w:rPr>
          <w:b/>
          <w:bCs/>
          <w:sz w:val="22"/>
        </w:rPr>
        <w:t>If TRAbs are positive</w:t>
      </w:r>
      <w:r w:rsidRPr="00A16443">
        <w:rPr>
          <w:bCs/>
          <w:sz w:val="22"/>
        </w:rPr>
        <w:t xml:space="preserve"> </w:t>
      </w:r>
      <w:r w:rsidRPr="0028710F">
        <w:rPr>
          <w:bCs/>
          <w:iCs/>
          <w:sz w:val="22"/>
        </w:rPr>
        <w:t>the patient will need to be seen by a consultant endocrinologist</w:t>
      </w:r>
      <w:r w:rsidR="00540B75" w:rsidRPr="0028710F">
        <w:rPr>
          <w:bCs/>
          <w:iCs/>
          <w:sz w:val="22"/>
        </w:rPr>
        <w:t xml:space="preserve"> and </w:t>
      </w:r>
      <w:r w:rsidRPr="0028710F">
        <w:rPr>
          <w:bCs/>
          <w:iCs/>
          <w:sz w:val="22"/>
        </w:rPr>
        <w:t xml:space="preserve">consultant </w:t>
      </w:r>
      <w:r w:rsidR="00540B75" w:rsidRPr="0028710F">
        <w:rPr>
          <w:bCs/>
          <w:iCs/>
          <w:sz w:val="22"/>
        </w:rPr>
        <w:t>obstetrician.</w:t>
      </w:r>
      <w:r w:rsidRPr="0028710F">
        <w:rPr>
          <w:bCs/>
          <w:iCs/>
          <w:sz w:val="22"/>
        </w:rPr>
        <w:t xml:space="preserve"> It is likely that further measurements of TRAbs will be required in these patients during pregnancy. Patients should be advised to deliver in hospital and the </w:t>
      </w:r>
      <w:r w:rsidR="00C6622C" w:rsidRPr="0028710F">
        <w:rPr>
          <w:bCs/>
          <w:iCs/>
          <w:sz w:val="22"/>
        </w:rPr>
        <w:t xml:space="preserve">neonatal </w:t>
      </w:r>
      <w:r w:rsidR="00540B75" w:rsidRPr="0028710F">
        <w:rPr>
          <w:bCs/>
          <w:iCs/>
          <w:sz w:val="22"/>
        </w:rPr>
        <w:t>team must</w:t>
      </w:r>
      <w:r w:rsidRPr="0028710F">
        <w:rPr>
          <w:bCs/>
          <w:iCs/>
          <w:sz w:val="22"/>
        </w:rPr>
        <w:t xml:space="preserve"> be informed at delivery. Additional ultrasound scans may be required and TSH/FT4/Total T3 on cord blood may be required (see “Managing Hyperthyroidism” section below).</w:t>
      </w:r>
    </w:p>
    <w:p w:rsidR="00A56CDD" w:rsidRDefault="00A56CDD" w:rsidP="006060EF">
      <w:pPr>
        <w:ind w:left="720"/>
        <w:jc w:val="both"/>
        <w:rPr>
          <w:color w:val="000000"/>
          <w:sz w:val="22"/>
          <w:szCs w:val="28"/>
        </w:rPr>
      </w:pPr>
    </w:p>
    <w:p w:rsidR="00A56CDD" w:rsidRDefault="00A56CDD" w:rsidP="006060EF">
      <w:pPr>
        <w:numPr>
          <w:ilvl w:val="0"/>
          <w:numId w:val="26"/>
        </w:numPr>
        <w:ind w:hanging="720"/>
        <w:jc w:val="both"/>
        <w:rPr>
          <w:color w:val="000000"/>
          <w:sz w:val="22"/>
        </w:rPr>
      </w:pPr>
      <w:r w:rsidRPr="0028710F">
        <w:rPr>
          <w:b/>
          <w:bCs/>
          <w:iCs/>
          <w:color w:val="000000"/>
          <w:sz w:val="22"/>
        </w:rPr>
        <w:t xml:space="preserve">Patients newly diagnosed with hypothyroidism </w:t>
      </w:r>
      <w:r w:rsidR="00A4117E" w:rsidRPr="0028710F">
        <w:rPr>
          <w:b/>
          <w:bCs/>
          <w:iCs/>
          <w:color w:val="000000"/>
          <w:sz w:val="22"/>
        </w:rPr>
        <w:t>whilst pregnant</w:t>
      </w:r>
      <w:r>
        <w:rPr>
          <w:color w:val="000000"/>
          <w:sz w:val="22"/>
        </w:rPr>
        <w:t xml:space="preserve"> s</w:t>
      </w:r>
      <w:r>
        <w:rPr>
          <w:color w:val="000000"/>
          <w:sz w:val="22"/>
          <w:szCs w:val="28"/>
        </w:rPr>
        <w:t xml:space="preserve">hould have T4 treatment commenced immediately </w:t>
      </w:r>
      <w:r>
        <w:rPr>
          <w:b/>
          <w:bCs/>
          <w:color w:val="000000"/>
          <w:sz w:val="22"/>
          <w:szCs w:val="28"/>
        </w:rPr>
        <w:t>with a starting dose of 100 microgram daily</w:t>
      </w:r>
      <w:r>
        <w:rPr>
          <w:color w:val="000000"/>
          <w:sz w:val="22"/>
          <w:szCs w:val="28"/>
        </w:rPr>
        <w:t>. A further assessment of thyroid function tests should be performed after 2 weeks to ensure FT4 is ideally 16-21 pmol/L; TSH should be less than 2</w:t>
      </w:r>
      <w:r w:rsidR="00BB4DBA">
        <w:rPr>
          <w:color w:val="000000"/>
          <w:sz w:val="22"/>
          <w:szCs w:val="28"/>
        </w:rPr>
        <w:t>.5</w:t>
      </w:r>
      <w:r>
        <w:rPr>
          <w:color w:val="000000"/>
          <w:sz w:val="22"/>
          <w:szCs w:val="28"/>
        </w:rPr>
        <w:t xml:space="preserve"> mU/L. Further changes in T4 dose, followed by repeat thyroid function tests may be required to achieve this “ideal” biochemical profile.</w:t>
      </w:r>
    </w:p>
    <w:p w:rsidR="00A56CDD" w:rsidRDefault="00A56CDD" w:rsidP="006060EF">
      <w:pPr>
        <w:numPr>
          <w:ilvl w:val="0"/>
          <w:numId w:val="11"/>
        </w:numPr>
        <w:jc w:val="both"/>
        <w:rPr>
          <w:color w:val="000000"/>
          <w:sz w:val="22"/>
        </w:rPr>
      </w:pPr>
      <w:r>
        <w:rPr>
          <w:color w:val="000000"/>
          <w:sz w:val="22"/>
        </w:rPr>
        <w:t xml:space="preserve">As a minimum, patients should have thyroid function tests performed once each trimester </w:t>
      </w:r>
    </w:p>
    <w:p w:rsidR="00A56CDD" w:rsidRDefault="00A56CDD" w:rsidP="006060EF">
      <w:pPr>
        <w:numPr>
          <w:ilvl w:val="0"/>
          <w:numId w:val="11"/>
        </w:numPr>
        <w:jc w:val="both"/>
        <w:rPr>
          <w:color w:val="000000"/>
          <w:sz w:val="22"/>
        </w:rPr>
      </w:pPr>
      <w:r>
        <w:rPr>
          <w:sz w:val="22"/>
        </w:rPr>
        <w:t xml:space="preserve">If TFTs are unstable refer to a Consultant obstetrician / Consultant Endocrinologist </w:t>
      </w:r>
      <w:r w:rsidR="00C6622C">
        <w:rPr>
          <w:sz w:val="22"/>
        </w:rPr>
        <w:t xml:space="preserve">by email </w:t>
      </w:r>
      <w:r>
        <w:rPr>
          <w:sz w:val="22"/>
        </w:rPr>
        <w:t xml:space="preserve">as early as possible as growth scans may be required. </w:t>
      </w:r>
    </w:p>
    <w:p w:rsidR="00A56CDD" w:rsidRDefault="00A56CDD" w:rsidP="006060EF">
      <w:pPr>
        <w:numPr>
          <w:ilvl w:val="0"/>
          <w:numId w:val="11"/>
        </w:numPr>
        <w:jc w:val="both"/>
        <w:rPr>
          <w:color w:val="000000"/>
          <w:sz w:val="22"/>
        </w:rPr>
      </w:pPr>
      <w:r>
        <w:rPr>
          <w:sz w:val="22"/>
        </w:rPr>
        <w:t xml:space="preserve">Women with stable, satisfactory thyroid function tests </w:t>
      </w:r>
      <w:r w:rsidR="00540B75">
        <w:rPr>
          <w:sz w:val="22"/>
        </w:rPr>
        <w:t xml:space="preserve">do not need to see an obstetrician but email discussion of TFTs should be initiated by </w:t>
      </w:r>
      <w:r w:rsidR="00C6622C">
        <w:rPr>
          <w:sz w:val="22"/>
        </w:rPr>
        <w:t>community midwife</w:t>
      </w:r>
      <w:r w:rsidR="008F4E44">
        <w:rPr>
          <w:sz w:val="22"/>
        </w:rPr>
        <w:t>. An obstetrician will see anyone about whom there are concerns</w:t>
      </w:r>
      <w:r w:rsidR="00C6622C">
        <w:rPr>
          <w:sz w:val="22"/>
        </w:rPr>
        <w:t>.</w:t>
      </w:r>
      <w:r w:rsidR="008F4E44">
        <w:rPr>
          <w:sz w:val="22"/>
        </w:rPr>
        <w:t xml:space="preserve"> </w:t>
      </w:r>
    </w:p>
    <w:p w:rsidR="00A56CDD" w:rsidRDefault="00C6622C" w:rsidP="006060EF">
      <w:pPr>
        <w:numPr>
          <w:ilvl w:val="0"/>
          <w:numId w:val="11"/>
        </w:numPr>
        <w:jc w:val="both"/>
        <w:rPr>
          <w:sz w:val="22"/>
        </w:rPr>
      </w:pPr>
      <w:r>
        <w:rPr>
          <w:sz w:val="22"/>
        </w:rPr>
        <w:t xml:space="preserve">GPs </w:t>
      </w:r>
      <w:r w:rsidR="00841C28">
        <w:rPr>
          <w:sz w:val="22"/>
        </w:rPr>
        <w:t>should reduce</w:t>
      </w:r>
      <w:r w:rsidR="00A56CDD">
        <w:rPr>
          <w:sz w:val="22"/>
        </w:rPr>
        <w:t xml:space="preserve"> T4</w:t>
      </w:r>
      <w:r w:rsidR="00540B75">
        <w:rPr>
          <w:sz w:val="22"/>
        </w:rPr>
        <w:t xml:space="preserve"> dose</w:t>
      </w:r>
      <w:r w:rsidR="00A56CDD">
        <w:rPr>
          <w:sz w:val="22"/>
        </w:rPr>
        <w:t xml:space="preserve"> to pre-pregnancy dose at 2-6 weeks post-partum and recheck TSH/Free T4 6-8 weeks later</w:t>
      </w:r>
      <w:r w:rsidR="00EB4B88">
        <w:rPr>
          <w:sz w:val="22"/>
        </w:rPr>
        <w:t>.</w:t>
      </w:r>
    </w:p>
    <w:p w:rsidR="00EB4B88" w:rsidRDefault="00EB4B88" w:rsidP="00EB4B88">
      <w:pPr>
        <w:jc w:val="both"/>
        <w:rPr>
          <w:sz w:val="22"/>
        </w:rPr>
      </w:pPr>
    </w:p>
    <w:p w:rsidR="00E561CE" w:rsidRPr="00A62ABF" w:rsidRDefault="00670270" w:rsidP="00A62ABF">
      <w:pPr>
        <w:pStyle w:val="Heading2"/>
        <w:spacing w:after="120"/>
        <w:jc w:val="both"/>
        <w:rPr>
          <w:sz w:val="28"/>
        </w:rPr>
      </w:pPr>
      <w:r>
        <w:rPr>
          <w:sz w:val="28"/>
        </w:rPr>
        <w:t>Subclinical Hypothyroidism and Pregnancy</w:t>
      </w:r>
    </w:p>
    <w:p w:rsidR="00670270" w:rsidRPr="0053764A" w:rsidRDefault="007F199E" w:rsidP="0053764A">
      <w:pPr>
        <w:pStyle w:val="ListParagraph"/>
        <w:ind w:left="0"/>
        <w:jc w:val="both"/>
        <w:rPr>
          <w:sz w:val="22"/>
        </w:rPr>
      </w:pPr>
      <w:r>
        <w:rPr>
          <w:sz w:val="22"/>
        </w:rPr>
        <w:t>The 2017 American Thyroid Association</w:t>
      </w:r>
      <w:r w:rsidR="00B32A43">
        <w:rPr>
          <w:sz w:val="22"/>
        </w:rPr>
        <w:t xml:space="preserve"> (ATA)</w:t>
      </w:r>
      <w:r>
        <w:rPr>
          <w:sz w:val="22"/>
        </w:rPr>
        <w:t xml:space="preserve"> guidelines</w:t>
      </w:r>
      <w:r w:rsidR="00907455">
        <w:rPr>
          <w:sz w:val="22"/>
        </w:rPr>
        <w:t xml:space="preserve"> [9]</w:t>
      </w:r>
      <w:r>
        <w:rPr>
          <w:sz w:val="22"/>
        </w:rPr>
        <w:t xml:space="preserve"> advise that there is no strong evidence that treating maternal sub-clinical hypothyroidism improves neurocognitive outcomes in children, but there is some </w:t>
      </w:r>
      <w:r>
        <w:rPr>
          <w:sz w:val="22"/>
        </w:rPr>
        <w:lastRenderedPageBreak/>
        <w:t>evidence that sub-clinical hypothyroidism is associated with increased risks of pregnancy loss or preterm delivery.</w:t>
      </w:r>
      <w:r w:rsidR="00267C70">
        <w:rPr>
          <w:sz w:val="22"/>
        </w:rPr>
        <w:t xml:space="preserve"> There is also no evidence to support universal screening of women for thyroid disease.  However, w</w:t>
      </w:r>
      <w:r w:rsidRPr="00937006">
        <w:rPr>
          <w:sz w:val="22"/>
        </w:rPr>
        <w:t xml:space="preserve">omen with sub-clinical hypothyroidism who are planning pregnancy or become pregnant should be advised to seek GP review for a check of thyroid function and TPO antibodies and consideration of levothyroxine replacement depending on their results (see </w:t>
      </w:r>
      <w:r>
        <w:rPr>
          <w:sz w:val="22"/>
        </w:rPr>
        <w:t>guidance and algorithm below</w:t>
      </w:r>
      <w:r w:rsidRPr="00937006">
        <w:rPr>
          <w:sz w:val="22"/>
        </w:rPr>
        <w:t>)</w:t>
      </w:r>
      <w:r w:rsidR="0053764A">
        <w:rPr>
          <w:sz w:val="22"/>
        </w:rPr>
        <w:t xml:space="preserve">.  The following advice on the approach to </w:t>
      </w:r>
      <w:r w:rsidR="0053764A">
        <w:rPr>
          <w:sz w:val="22"/>
          <w:szCs w:val="22"/>
          <w:lang w:eastAsia="en-GB"/>
        </w:rPr>
        <w:t>s</w:t>
      </w:r>
      <w:r w:rsidR="00670270" w:rsidRPr="0033439E">
        <w:rPr>
          <w:sz w:val="22"/>
          <w:szCs w:val="22"/>
          <w:lang w:eastAsia="en-GB"/>
        </w:rPr>
        <w:t xml:space="preserve">ubclinical hypothyroidism in pregnancy </w:t>
      </w:r>
      <w:r w:rsidR="0053764A">
        <w:rPr>
          <w:sz w:val="22"/>
          <w:szCs w:val="22"/>
          <w:lang w:eastAsia="en-GB"/>
        </w:rPr>
        <w:t>is based on the 2017 ATA guidelines</w:t>
      </w:r>
      <w:r w:rsidR="00907455">
        <w:rPr>
          <w:sz w:val="22"/>
          <w:szCs w:val="22"/>
          <w:lang w:eastAsia="en-GB"/>
        </w:rPr>
        <w:t xml:space="preserve"> [9]</w:t>
      </w:r>
      <w:r w:rsidR="007D1F3B">
        <w:rPr>
          <w:sz w:val="22"/>
          <w:szCs w:val="22"/>
          <w:lang w:eastAsia="en-GB"/>
        </w:rPr>
        <w:t>.</w:t>
      </w:r>
      <w:r w:rsidR="0046209E">
        <w:rPr>
          <w:sz w:val="22"/>
          <w:szCs w:val="22"/>
          <w:lang w:eastAsia="en-GB"/>
        </w:rPr>
        <w:t xml:space="preserve">  The advice is also summarised in the algorithm below:</w:t>
      </w:r>
    </w:p>
    <w:p w:rsidR="00E561CE" w:rsidRPr="0033439E" w:rsidRDefault="00E561CE" w:rsidP="00670270">
      <w:pPr>
        <w:autoSpaceDE w:val="0"/>
        <w:autoSpaceDN w:val="0"/>
        <w:adjustRightInd w:val="0"/>
        <w:jc w:val="both"/>
        <w:rPr>
          <w:sz w:val="22"/>
          <w:szCs w:val="22"/>
          <w:lang w:eastAsia="en-GB"/>
        </w:rPr>
      </w:pPr>
    </w:p>
    <w:p w:rsidR="00661693" w:rsidRDefault="00670270" w:rsidP="00661693">
      <w:pPr>
        <w:numPr>
          <w:ilvl w:val="0"/>
          <w:numId w:val="27"/>
        </w:numPr>
        <w:autoSpaceDE w:val="0"/>
        <w:autoSpaceDN w:val="0"/>
        <w:adjustRightInd w:val="0"/>
        <w:jc w:val="both"/>
        <w:rPr>
          <w:sz w:val="22"/>
          <w:szCs w:val="22"/>
          <w:lang w:eastAsia="en-GB"/>
        </w:rPr>
      </w:pPr>
      <w:r w:rsidRPr="00DC1288">
        <w:rPr>
          <w:sz w:val="22"/>
          <w:szCs w:val="22"/>
          <w:lang w:eastAsia="en-GB"/>
        </w:rPr>
        <w:t>T4 therapy is recommended for TPO Ab-positive women with a TSH greater than the pregnancy-specific reference range and for TPO</w:t>
      </w:r>
      <w:r w:rsidR="00E561CE" w:rsidRPr="00DC1288">
        <w:rPr>
          <w:sz w:val="22"/>
          <w:szCs w:val="22"/>
          <w:lang w:eastAsia="en-GB"/>
        </w:rPr>
        <w:t xml:space="preserve"> </w:t>
      </w:r>
      <w:r w:rsidRPr="00DC1288">
        <w:rPr>
          <w:sz w:val="22"/>
          <w:szCs w:val="22"/>
          <w:lang w:eastAsia="en-GB"/>
        </w:rPr>
        <w:t>Ab-negative women with a TSH greater than 10.0 mU/L.</w:t>
      </w:r>
      <w:r w:rsidR="002877DD">
        <w:rPr>
          <w:sz w:val="22"/>
          <w:szCs w:val="22"/>
          <w:lang w:eastAsia="en-GB"/>
        </w:rPr>
        <w:t xml:space="preserve"> A starting dose of 25-50mcg levothyroxine is recommended.  If advice is needed, an ‘Advice only’ request can be sent via SCI Gateway</w:t>
      </w:r>
    </w:p>
    <w:p w:rsidR="00862225" w:rsidRPr="00862225" w:rsidRDefault="00862225" w:rsidP="00862225">
      <w:pPr>
        <w:numPr>
          <w:ilvl w:val="0"/>
          <w:numId w:val="27"/>
        </w:numPr>
        <w:autoSpaceDE w:val="0"/>
        <w:autoSpaceDN w:val="0"/>
        <w:adjustRightInd w:val="0"/>
        <w:jc w:val="both"/>
        <w:rPr>
          <w:sz w:val="22"/>
          <w:szCs w:val="22"/>
          <w:lang w:eastAsia="en-GB"/>
        </w:rPr>
      </w:pPr>
      <w:r w:rsidRPr="00863CF5">
        <w:rPr>
          <w:sz w:val="22"/>
          <w:szCs w:val="22"/>
          <w:lang w:eastAsia="en-GB"/>
        </w:rPr>
        <w:t xml:space="preserve">T4 therapy </w:t>
      </w:r>
      <w:r>
        <w:rPr>
          <w:sz w:val="22"/>
          <w:szCs w:val="22"/>
          <w:lang w:eastAsia="en-GB"/>
        </w:rPr>
        <w:t>should be considered</w:t>
      </w:r>
      <w:r w:rsidRPr="00863CF5">
        <w:rPr>
          <w:sz w:val="22"/>
          <w:szCs w:val="22"/>
          <w:lang w:eastAsia="en-GB"/>
        </w:rPr>
        <w:t xml:space="preserve"> for TPO Ab-negative women with TSH concentrations greater than the pregnancy-specific refe</w:t>
      </w:r>
      <w:r>
        <w:rPr>
          <w:sz w:val="22"/>
          <w:szCs w:val="22"/>
          <w:lang w:eastAsia="en-GB"/>
        </w:rPr>
        <w:t xml:space="preserve">rence range and below 10.0 mU/L, aiming to bring the TSH down to 2.5 mU/l or below.  After pregnancy, </w:t>
      </w:r>
      <w:r w:rsidR="007D1F3B">
        <w:rPr>
          <w:sz w:val="22"/>
          <w:szCs w:val="22"/>
          <w:lang w:eastAsia="en-GB"/>
        </w:rPr>
        <w:t>l</w:t>
      </w:r>
      <w:r>
        <w:rPr>
          <w:sz w:val="22"/>
          <w:szCs w:val="22"/>
          <w:lang w:eastAsia="en-GB"/>
        </w:rPr>
        <w:t xml:space="preserve">evothyroxine could be withdrawn.  </w:t>
      </w:r>
      <w:r w:rsidR="0007158F">
        <w:rPr>
          <w:sz w:val="22"/>
          <w:szCs w:val="22"/>
          <w:lang w:eastAsia="en-GB"/>
        </w:rPr>
        <w:t xml:space="preserve">A starting dose of 25-50mcg of </w:t>
      </w:r>
      <w:r w:rsidR="005C78B3">
        <w:rPr>
          <w:sz w:val="22"/>
          <w:szCs w:val="22"/>
          <w:lang w:eastAsia="en-GB"/>
        </w:rPr>
        <w:t xml:space="preserve">levothyroxine is reasonable.  </w:t>
      </w:r>
      <w:r>
        <w:rPr>
          <w:sz w:val="22"/>
          <w:szCs w:val="22"/>
          <w:lang w:eastAsia="en-GB"/>
        </w:rPr>
        <w:t xml:space="preserve">If advice is required, cases can be </w:t>
      </w:r>
      <w:r w:rsidRPr="00863CF5">
        <w:rPr>
          <w:sz w:val="22"/>
          <w:szCs w:val="22"/>
          <w:lang w:eastAsia="en-GB"/>
        </w:rPr>
        <w:t>discussed with a consultant endocrinologist by sending an ‘Advice Only’ referral on SCI Gateway.</w:t>
      </w:r>
    </w:p>
    <w:p w:rsidR="008B0BC0" w:rsidRPr="00126DB9" w:rsidRDefault="00661693" w:rsidP="00126DB9">
      <w:pPr>
        <w:numPr>
          <w:ilvl w:val="0"/>
          <w:numId w:val="27"/>
        </w:numPr>
        <w:autoSpaceDE w:val="0"/>
        <w:autoSpaceDN w:val="0"/>
        <w:adjustRightInd w:val="0"/>
        <w:jc w:val="both"/>
        <w:rPr>
          <w:sz w:val="22"/>
          <w:szCs w:val="22"/>
          <w:lang w:eastAsia="en-GB"/>
        </w:rPr>
      </w:pPr>
      <w:r w:rsidRPr="00863CF5">
        <w:rPr>
          <w:sz w:val="22"/>
          <w:szCs w:val="22"/>
          <w:lang w:eastAsia="en-GB"/>
        </w:rPr>
        <w:t>TPO Ab-positive women with TSH concentrations &gt;2.5 mU/L and below the upper limit of the pr</w:t>
      </w:r>
      <w:r w:rsidR="00126DB9">
        <w:rPr>
          <w:sz w:val="22"/>
          <w:szCs w:val="22"/>
          <w:lang w:eastAsia="en-GB"/>
        </w:rPr>
        <w:t>egnancy-specific reference range</w:t>
      </w:r>
      <w:r w:rsidR="005F6323">
        <w:rPr>
          <w:sz w:val="22"/>
          <w:szCs w:val="22"/>
          <w:lang w:eastAsia="en-GB"/>
        </w:rPr>
        <w:t>:</w:t>
      </w:r>
      <w:r w:rsidR="00126DB9">
        <w:rPr>
          <w:sz w:val="22"/>
          <w:szCs w:val="22"/>
          <w:lang w:eastAsia="en-GB"/>
        </w:rPr>
        <w:t xml:space="preserve">  Although the 2017 ATA guidance suggested that T4 therapy </w:t>
      </w:r>
      <w:r w:rsidR="00126DB9">
        <w:rPr>
          <w:i/>
          <w:sz w:val="22"/>
          <w:szCs w:val="22"/>
          <w:lang w:eastAsia="en-GB"/>
        </w:rPr>
        <w:t xml:space="preserve">may </w:t>
      </w:r>
      <w:r w:rsidR="00126DB9">
        <w:rPr>
          <w:sz w:val="22"/>
          <w:szCs w:val="22"/>
          <w:lang w:eastAsia="en-GB"/>
        </w:rPr>
        <w:t>be considered for these women, the more recent TABLET trial</w:t>
      </w:r>
      <w:r w:rsidR="00126DB9">
        <w:rPr>
          <w:sz w:val="22"/>
          <w:szCs w:val="22"/>
          <w:vertAlign w:val="superscript"/>
          <w:lang w:eastAsia="en-GB"/>
        </w:rPr>
        <w:t>10</w:t>
      </w:r>
      <w:r w:rsidR="00126DB9">
        <w:rPr>
          <w:sz w:val="22"/>
          <w:szCs w:val="22"/>
          <w:lang w:eastAsia="en-GB"/>
        </w:rPr>
        <w:t xml:space="preserve"> suggests that use of Levothyroxine in euthyroid women with positive anti-thyroid antibodies DOES NOT improve obstetric outcomes.  Therefore, we no longer recommend Levothyroxine therapy in this group.</w:t>
      </w:r>
    </w:p>
    <w:p w:rsidR="007D1F3B" w:rsidRDefault="00661693" w:rsidP="00A62ABF">
      <w:pPr>
        <w:numPr>
          <w:ilvl w:val="0"/>
          <w:numId w:val="27"/>
        </w:numPr>
        <w:autoSpaceDE w:val="0"/>
        <w:autoSpaceDN w:val="0"/>
        <w:adjustRightInd w:val="0"/>
        <w:spacing w:after="240"/>
        <w:ind w:left="714" w:hanging="357"/>
        <w:jc w:val="both"/>
        <w:rPr>
          <w:sz w:val="22"/>
          <w:szCs w:val="22"/>
          <w:lang w:eastAsia="en-GB"/>
        </w:rPr>
      </w:pPr>
      <w:r w:rsidRPr="0033439E">
        <w:rPr>
          <w:sz w:val="22"/>
          <w:szCs w:val="22"/>
          <w:lang w:eastAsia="en-GB"/>
        </w:rPr>
        <w:t xml:space="preserve">T4 therapy is </w:t>
      </w:r>
      <w:r w:rsidRPr="0033439E">
        <w:rPr>
          <w:sz w:val="22"/>
          <w:szCs w:val="22"/>
          <w:u w:val="single"/>
          <w:lang w:eastAsia="en-GB"/>
        </w:rPr>
        <w:t>not</w:t>
      </w:r>
      <w:r w:rsidRPr="0033439E">
        <w:rPr>
          <w:sz w:val="22"/>
          <w:szCs w:val="22"/>
          <w:lang w:eastAsia="en-GB"/>
        </w:rPr>
        <w:t xml:space="preserve"> recommended for TPOAb-negative women with a normal TSH (TSH within the pregnancy-specific reference range).</w:t>
      </w:r>
    </w:p>
    <w:p w:rsidR="00DB620D" w:rsidRPr="00DB620D" w:rsidRDefault="00DB620D" w:rsidP="00DB620D">
      <w:pPr>
        <w:autoSpaceDE w:val="0"/>
        <w:autoSpaceDN w:val="0"/>
        <w:adjustRightInd w:val="0"/>
        <w:spacing w:after="240"/>
        <w:ind w:left="714"/>
        <w:jc w:val="both"/>
        <w:rPr>
          <w:sz w:val="8"/>
          <w:szCs w:val="22"/>
          <w:lang w:eastAsia="en-GB"/>
        </w:rPr>
      </w:pPr>
    </w:p>
    <w:p w:rsidR="00A67B3F" w:rsidRDefault="008142F0" w:rsidP="00E410B9">
      <w:pPr>
        <w:pStyle w:val="ListParagraph"/>
        <w:tabs>
          <w:tab w:val="left" w:pos="0"/>
        </w:tabs>
        <w:ind w:left="0"/>
      </w:pPr>
      <w:r>
        <w:rPr>
          <w:noProof/>
          <w:lang w:eastAsia="en-GB"/>
        </w:rPr>
        <w:drawing>
          <wp:inline distT="0" distB="0" distL="0" distR="0">
            <wp:extent cx="6331789" cy="4278702"/>
            <wp:effectExtent l="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58641" cy="6120680"/>
                      <a:chOff x="35496" y="188640"/>
                      <a:chExt cx="9158641" cy="6120680"/>
                    </a:xfrm>
                  </a:grpSpPr>
                  <a:sp>
                    <a:nvSpPr>
                      <a:cNvPr id="4" name="TextBox 3"/>
                      <a:cNvSpPr txBox="1"/>
                    </a:nvSpPr>
                    <a:spPr>
                      <a:xfrm>
                        <a:off x="1259632" y="188640"/>
                        <a:ext cx="6554102" cy="369332"/>
                      </a:xfrm>
                      <a:prstGeom prst="rect">
                        <a:avLst/>
                      </a:prstGeom>
                      <a:noFill/>
                    </a:spPr>
                    <a:txSp>
                      <a:txBody>
                        <a:bodyPr wrap="non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800" b="1" i="0" u="none" strike="noStrike" kern="1200" cap="none" spc="0" normalizeH="0" baseline="0" noProof="0" dirty="0">
                              <a:ln>
                                <a:noFill/>
                              </a:ln>
                              <a:solidFill>
                                <a:prstClr val="black"/>
                              </a:solidFill>
                              <a:effectLst/>
                              <a:uLnTx/>
                              <a:uFillTx/>
                              <a:latin typeface="Calibri"/>
                              <a:ea typeface="+mn-ea"/>
                              <a:cs typeface="+mn-cs"/>
                            </a:rPr>
                            <a:t>Possible sub-clinical hypothyroidism, in women of reproductive age</a:t>
                          </a:r>
                        </a:p>
                      </a:txBody>
                      <a:useSpRect/>
                    </a:txSp>
                  </a:sp>
                  <a:sp>
                    <a:nvSpPr>
                      <a:cNvPr id="5" name="TextBox 4"/>
                      <a:cNvSpPr txBox="1"/>
                    </a:nvSpPr>
                    <a:spPr>
                      <a:xfrm>
                        <a:off x="3518135" y="622429"/>
                        <a:ext cx="1917961" cy="646331"/>
                      </a:xfrm>
                      <a:prstGeom prst="rect">
                        <a:avLst/>
                      </a:prstGeom>
                      <a:noFill/>
                    </a:spPr>
                    <a:txSp>
                      <a:txBody>
                        <a:bodyPr wrap="non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800" b="0" i="0" u="none" strike="noStrike" kern="1200" cap="none" spc="0" normalizeH="0" baseline="0" noProof="0" dirty="0">
                              <a:ln>
                                <a:noFill/>
                              </a:ln>
                              <a:solidFill>
                                <a:prstClr val="black"/>
                              </a:solidFill>
                              <a:effectLst/>
                              <a:uLnTx/>
                              <a:uFillTx/>
                              <a:latin typeface="Calibri"/>
                              <a:ea typeface="+mn-ea"/>
                              <a:cs typeface="+mn-cs"/>
                            </a:rPr>
                            <a:t>TSH 4.5 – 10 mU/L</a:t>
                          </a:r>
                        </a:p>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800" b="0" i="0" u="none" strike="noStrike" kern="1200" cap="none" spc="0" normalizeH="0" baseline="0" noProof="0" dirty="0">
                              <a:ln>
                                <a:noFill/>
                              </a:ln>
                              <a:solidFill>
                                <a:prstClr val="black"/>
                              </a:solidFill>
                              <a:effectLst/>
                              <a:uLnTx/>
                              <a:uFillTx/>
                              <a:latin typeface="Calibri"/>
                              <a:ea typeface="+mn-ea"/>
                              <a:cs typeface="+mn-cs"/>
                            </a:rPr>
                            <a:t>FT4 in ref range*</a:t>
                          </a:r>
                        </a:p>
                      </a:txBody>
                      <a:useSpRect/>
                    </a:txSp>
                  </a:sp>
                  <a:sp>
                    <a:nvSpPr>
                      <a:cNvPr id="7" name="TextBox 6"/>
                      <a:cNvSpPr txBox="1"/>
                    </a:nvSpPr>
                    <a:spPr>
                      <a:xfrm>
                        <a:off x="5364088" y="620688"/>
                        <a:ext cx="1673856" cy="707886"/>
                      </a:xfrm>
                      <a:prstGeom prst="rect">
                        <a:avLst/>
                      </a:prstGeom>
                      <a:noFill/>
                    </a:spPr>
                    <a:txSp>
                      <a:txBody>
                        <a:bodyPr wrap="non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Consider underlying cause:</a:t>
                          </a:r>
                        </a:p>
                        <a:p>
                          <a:pPr marL="0" marR="0" lvl="0" indent="0" algn="l" defTabSz="914400" rtl="0" eaLnBrk="1" fontAlgn="auto" latinLnBrk="0" hangingPunct="1">
                            <a:lnSpc>
                              <a:spcPct val="100000"/>
                            </a:lnSpc>
                            <a:spcBef>
                              <a:spcPts val="0"/>
                            </a:spcBef>
                            <a:spcAft>
                              <a:spcPts val="0"/>
                            </a:spcAft>
                            <a:buClrTx/>
                            <a:buSzTx/>
                            <a:buFontTx/>
                            <a:buChar char="-"/>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recovery from illness</a:t>
                          </a:r>
                        </a:p>
                        <a:p>
                          <a:pPr marL="0" marR="0" lvl="0" indent="0" algn="l" defTabSz="914400" rtl="0" eaLnBrk="1" fontAlgn="auto" latinLnBrk="0" hangingPunct="1">
                            <a:lnSpc>
                              <a:spcPct val="100000"/>
                            </a:lnSpc>
                            <a:spcBef>
                              <a:spcPts val="0"/>
                            </a:spcBef>
                            <a:spcAft>
                              <a:spcPts val="0"/>
                            </a:spcAft>
                            <a:buClrTx/>
                            <a:buSzTx/>
                            <a:buFontTx/>
                            <a:buChar char="-"/>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medication</a:t>
                          </a:r>
                        </a:p>
                        <a:p>
                          <a:pPr marL="0" marR="0" lvl="0" indent="0" algn="l" defTabSz="914400" rtl="0" eaLnBrk="1" fontAlgn="auto" latinLnBrk="0" hangingPunct="1">
                            <a:lnSpc>
                              <a:spcPct val="100000"/>
                            </a:lnSpc>
                            <a:spcBef>
                              <a:spcPts val="0"/>
                            </a:spcBef>
                            <a:spcAft>
                              <a:spcPts val="0"/>
                            </a:spcAft>
                            <a:buClrTx/>
                            <a:buSzTx/>
                            <a:buFontTx/>
                            <a:buChar char="-"/>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sub-clinical hypothyroidism</a:t>
                          </a:r>
                        </a:p>
                      </a:txBody>
                      <a:useSpRect/>
                    </a:txSp>
                  </a:sp>
                  <a:sp>
                    <a:nvSpPr>
                      <a:cNvPr id="8" name="TextBox 7"/>
                      <a:cNvSpPr txBox="1"/>
                    </a:nvSpPr>
                    <a:spPr>
                      <a:xfrm>
                        <a:off x="3273324" y="1268760"/>
                        <a:ext cx="2162772" cy="369332"/>
                      </a:xfrm>
                      <a:prstGeom prst="rect">
                        <a:avLst/>
                      </a:prstGeom>
                      <a:noFill/>
                    </a:spPr>
                    <a:txSp>
                      <a:txBody>
                        <a:bodyPr wrap="non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800" b="0" i="1" u="none" strike="noStrike" kern="1200" cap="none" spc="0" normalizeH="0" baseline="0" noProof="0" dirty="0">
                              <a:ln>
                                <a:noFill/>
                              </a:ln>
                              <a:solidFill>
                                <a:prstClr val="black"/>
                              </a:solidFill>
                              <a:effectLst/>
                              <a:uLnTx/>
                              <a:uFillTx/>
                              <a:latin typeface="Calibri"/>
                              <a:ea typeface="+mn-ea"/>
                              <a:cs typeface="+mn-cs"/>
                            </a:rPr>
                            <a:t>ask about </a:t>
                          </a:r>
                          <a:r>
                            <a:rPr kumimoji="0" lang="en-GB" sz="1800" b="1" i="1" u="none" strike="noStrike" kern="1200" cap="none" spc="0" normalizeH="0" baseline="0" noProof="0" dirty="0">
                              <a:ln>
                                <a:noFill/>
                              </a:ln>
                              <a:solidFill>
                                <a:prstClr val="black"/>
                              </a:solidFill>
                              <a:effectLst/>
                              <a:uLnTx/>
                              <a:uFillTx/>
                              <a:latin typeface="Calibri"/>
                              <a:ea typeface="+mn-ea"/>
                              <a:cs typeface="+mn-cs"/>
                            </a:rPr>
                            <a:t>pregnancy</a:t>
                          </a:r>
                        </a:p>
                      </a:txBody>
                      <a:useSpRect/>
                    </a:txSp>
                  </a:sp>
                  <a:sp>
                    <a:nvSpPr>
                      <a:cNvPr id="9" name="TextBox 8"/>
                      <a:cNvSpPr txBox="1"/>
                    </a:nvSpPr>
                    <a:spPr>
                      <a:xfrm>
                        <a:off x="539552" y="2111661"/>
                        <a:ext cx="2403415" cy="369332"/>
                      </a:xfrm>
                      <a:prstGeom prst="rect">
                        <a:avLst/>
                      </a:prstGeom>
                      <a:noFill/>
                    </a:spPr>
                    <a:txSp>
                      <a:txBody>
                        <a:bodyPr wrap="non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800" b="0" i="0" u="none" strike="noStrike" kern="1200" cap="none" spc="0" normalizeH="0" baseline="0" noProof="0" dirty="0">
                              <a:ln>
                                <a:noFill/>
                              </a:ln>
                              <a:solidFill>
                                <a:prstClr val="black"/>
                              </a:solidFill>
                              <a:effectLst/>
                              <a:uLnTx/>
                              <a:uFillTx/>
                              <a:latin typeface="Calibri"/>
                              <a:ea typeface="+mn-ea"/>
                              <a:cs typeface="+mn-cs"/>
                            </a:rPr>
                            <a:t>not planning pregnancy</a:t>
                          </a:r>
                        </a:p>
                      </a:txBody>
                      <a:useSpRect/>
                    </a:txSp>
                  </a:sp>
                  <a:sp>
                    <a:nvSpPr>
                      <a:cNvPr id="10" name="TextBox 9"/>
                      <a:cNvSpPr txBox="1"/>
                    </a:nvSpPr>
                    <a:spPr>
                      <a:xfrm>
                        <a:off x="3751733" y="2111661"/>
                        <a:ext cx="2247410" cy="369332"/>
                      </a:xfrm>
                      <a:prstGeom prst="rect">
                        <a:avLst/>
                      </a:prstGeom>
                      <a:noFill/>
                    </a:spPr>
                    <a:txSp>
                      <a:txBody>
                        <a:bodyPr wrap="non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800" b="0" i="0" u="none" strike="noStrike" kern="1200" cap="none" spc="0" normalizeH="0" baseline="0" noProof="0" dirty="0">
                              <a:ln>
                                <a:noFill/>
                              </a:ln>
                              <a:solidFill>
                                <a:prstClr val="black"/>
                              </a:solidFill>
                              <a:effectLst/>
                              <a:uLnTx/>
                              <a:uFillTx/>
                              <a:latin typeface="Calibri"/>
                              <a:ea typeface="+mn-ea"/>
                              <a:cs typeface="+mn-cs"/>
                            </a:rPr>
                            <a:t>trying for a pregnancy</a:t>
                          </a:r>
                        </a:p>
                      </a:txBody>
                      <a:useSpRect/>
                    </a:txSp>
                  </a:sp>
                  <a:sp>
                    <a:nvSpPr>
                      <a:cNvPr id="11" name="TextBox 10"/>
                      <a:cNvSpPr txBox="1"/>
                    </a:nvSpPr>
                    <a:spPr>
                      <a:xfrm>
                        <a:off x="7092280" y="2111661"/>
                        <a:ext cx="1037143" cy="369332"/>
                      </a:xfrm>
                      <a:prstGeom prst="rect">
                        <a:avLst/>
                      </a:prstGeom>
                      <a:noFill/>
                    </a:spPr>
                    <a:txSp>
                      <a:txBody>
                        <a:bodyPr wrap="non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800" b="0" i="0" u="none" strike="noStrike" kern="1200" cap="none" spc="0" normalizeH="0" baseline="0" noProof="0" dirty="0">
                              <a:ln>
                                <a:noFill/>
                              </a:ln>
                              <a:solidFill>
                                <a:prstClr val="black"/>
                              </a:solidFill>
                              <a:effectLst/>
                              <a:uLnTx/>
                              <a:uFillTx/>
                              <a:latin typeface="Calibri"/>
                              <a:ea typeface="+mn-ea"/>
                              <a:cs typeface="+mn-cs"/>
                            </a:rPr>
                            <a:t>pregnant</a:t>
                          </a:r>
                        </a:p>
                      </a:txBody>
                      <a:useSpRect/>
                    </a:txSp>
                  </a:sp>
                  <a:sp>
                    <a:nvSpPr>
                      <a:cNvPr id="12" name="TextBox 11"/>
                      <a:cNvSpPr txBox="1"/>
                    </a:nvSpPr>
                    <a:spPr>
                      <a:xfrm>
                        <a:off x="7020272" y="2433082"/>
                        <a:ext cx="2173865" cy="707886"/>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Char char="-"/>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Request anti-TPO (if none previous)</a:t>
                          </a:r>
                        </a:p>
                        <a:p>
                          <a:pPr marL="0" marR="0" lvl="0" indent="0" algn="l" defTabSz="914400" rtl="0" eaLnBrk="1" fontAlgn="auto" latinLnBrk="0" hangingPunct="1">
                            <a:lnSpc>
                              <a:spcPct val="100000"/>
                            </a:lnSpc>
                            <a:spcBef>
                              <a:spcPts val="0"/>
                            </a:spcBef>
                            <a:spcAft>
                              <a:spcPts val="0"/>
                            </a:spcAft>
                            <a:buClrTx/>
                            <a:buSzTx/>
                            <a:buFontTx/>
                            <a:buChar char="-"/>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T4 therapy likely required</a:t>
                          </a:r>
                        </a:p>
                        <a:p>
                          <a:pPr marL="0" marR="0" lvl="0" indent="0" algn="l" defTabSz="914400" rtl="0" eaLnBrk="1" fontAlgn="auto" latinLnBrk="0" hangingPunct="1">
                            <a:lnSpc>
                              <a:spcPct val="100000"/>
                            </a:lnSpc>
                            <a:spcBef>
                              <a:spcPts val="0"/>
                            </a:spcBef>
                            <a:spcAft>
                              <a:spcPts val="0"/>
                            </a:spcAft>
                            <a:buClrTx/>
                            <a:buSzTx/>
                            <a:buFontTx/>
                            <a:buChar char="-"/>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a:t>
                          </a:r>
                          <a:r>
                            <a:rPr kumimoji="0" lang="en-GB" sz="1000" b="0" i="0" u="none" strike="noStrike" kern="1200" cap="none" spc="0" normalizeH="0" baseline="0" noProof="0" dirty="0" smtClean="0">
                              <a:ln>
                                <a:noFill/>
                              </a:ln>
                              <a:solidFill>
                                <a:prstClr val="black"/>
                              </a:solidFill>
                              <a:effectLst/>
                              <a:uLnTx/>
                              <a:uFillTx/>
                              <a:latin typeface="Calibri"/>
                              <a:ea typeface="+mn-ea"/>
                              <a:cs typeface="+mn-cs"/>
                            </a:rPr>
                            <a:t>Use </a:t>
                          </a:r>
                          <a:r>
                            <a:rPr kumimoji="0" lang="en-GB" sz="1000" b="1" i="0" strike="noStrike" kern="1200" cap="none" spc="0" normalizeH="0" baseline="0" noProof="0" dirty="0" smtClean="0">
                              <a:ln>
                                <a:noFill/>
                              </a:ln>
                              <a:solidFill>
                                <a:prstClr val="black"/>
                              </a:solidFill>
                              <a:effectLst/>
                              <a:uLnTx/>
                              <a:uFillTx/>
                              <a:latin typeface="Calibri"/>
                              <a:ea typeface="+mn-ea"/>
                              <a:cs typeface="+mn-cs"/>
                            </a:rPr>
                            <a:t>pregnancy-specific</a:t>
                          </a:r>
                          <a:r>
                            <a:rPr kumimoji="0" lang="en-GB" sz="1000" b="0" i="0" u="none" strike="noStrike" kern="1200" cap="none" spc="0" normalizeH="0" baseline="0" noProof="0" dirty="0" smtClean="0">
                              <a:ln>
                                <a:noFill/>
                              </a:ln>
                              <a:solidFill>
                                <a:prstClr val="black"/>
                              </a:solidFill>
                              <a:effectLst/>
                              <a:uLnTx/>
                              <a:uFillTx/>
                              <a:latin typeface="Calibri"/>
                              <a:ea typeface="+mn-ea"/>
                              <a:cs typeface="+mn-cs"/>
                            </a:rPr>
                            <a:t> TSH reference ranges (see above table</a:t>
                          </a:r>
                          <a:r>
                            <a:rPr kumimoji="0" lang="en-GB" sz="1000" b="0" i="0" u="none" strike="noStrike" kern="1200" cap="none" spc="0" normalizeH="0" noProof="0" dirty="0" smtClean="0">
                              <a:ln>
                                <a:noFill/>
                              </a:ln>
                              <a:solidFill>
                                <a:prstClr val="black"/>
                              </a:solidFill>
                              <a:effectLst/>
                              <a:uLnTx/>
                              <a:uFillTx/>
                              <a:latin typeface="Calibri"/>
                              <a:ea typeface="+mn-ea"/>
                              <a:cs typeface="+mn-cs"/>
                            </a:rPr>
                            <a:t>)</a:t>
                          </a:r>
                          <a:endParaRPr kumimoji="0" lang="en-GB" sz="1000" b="0" i="0" u="none" strike="noStrike" kern="1200" cap="none" spc="0" normalizeH="0" baseline="0" noProof="0" dirty="0">
                            <a:ln>
                              <a:noFill/>
                            </a:ln>
                            <a:solidFill>
                              <a:prstClr val="black"/>
                            </a:solidFill>
                            <a:effectLst/>
                            <a:uLnTx/>
                            <a:uFillTx/>
                            <a:latin typeface="Calibri"/>
                            <a:ea typeface="+mn-ea"/>
                            <a:cs typeface="+mn-cs"/>
                          </a:endParaRPr>
                        </a:p>
                      </a:txBody>
                      <a:useSpRect/>
                    </a:txSp>
                  </a:sp>
                  <a:sp>
                    <a:nvSpPr>
                      <a:cNvPr id="13" name="TextBox 12"/>
                      <a:cNvSpPr txBox="1"/>
                    </a:nvSpPr>
                    <a:spPr>
                      <a:xfrm>
                        <a:off x="611560" y="3061989"/>
                        <a:ext cx="2101857" cy="400110"/>
                      </a:xfrm>
                      <a:prstGeom prst="rect">
                        <a:avLst/>
                      </a:prstGeom>
                      <a:noFill/>
                    </a:spPr>
                    <a:txSp>
                      <a:txBody>
                        <a:bodyPr wrap="non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Char char="-"/>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Repeat TFTs at 3 months</a:t>
                          </a:r>
                        </a:p>
                        <a:p>
                          <a:pPr marL="0" marR="0" lvl="0" indent="0" algn="l" defTabSz="914400" rtl="0" eaLnBrk="1" fontAlgn="auto" latinLnBrk="0" hangingPunct="1">
                            <a:lnSpc>
                              <a:spcPct val="100000"/>
                            </a:lnSpc>
                            <a:spcBef>
                              <a:spcPts val="0"/>
                            </a:spcBef>
                            <a:spcAft>
                              <a:spcPts val="0"/>
                            </a:spcAft>
                            <a:buClrTx/>
                            <a:buSzTx/>
                            <a:buFontTx/>
                            <a:buChar char="-"/>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Request anti-TPO (if none previous)</a:t>
                          </a:r>
                        </a:p>
                      </a:txBody>
                      <a:useSpRect/>
                    </a:txSp>
                  </a:sp>
                  <a:sp>
                    <a:nvSpPr>
                      <a:cNvPr id="15" name="TextBox 14"/>
                      <a:cNvSpPr txBox="1"/>
                    </a:nvSpPr>
                    <a:spPr>
                      <a:xfrm>
                        <a:off x="1226652" y="5301208"/>
                        <a:ext cx="1362104" cy="461665"/>
                      </a:xfrm>
                      <a:prstGeom prst="rect">
                        <a:avLst/>
                      </a:prstGeom>
                      <a:noFill/>
                    </a:spPr>
                    <a:txSp>
                      <a:txBody>
                        <a:bodyPr wrap="non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200" b="1" i="0" u="none" strike="noStrike" kern="1200" cap="none" spc="0" normalizeH="0" baseline="0" noProof="0" dirty="0">
                              <a:ln>
                                <a:noFill/>
                              </a:ln>
                              <a:solidFill>
                                <a:prstClr val="black"/>
                              </a:solidFill>
                              <a:effectLst/>
                              <a:uLnTx/>
                              <a:uFillTx/>
                              <a:latin typeface="Calibri"/>
                              <a:ea typeface="+mn-ea"/>
                              <a:cs typeface="+mn-cs"/>
                            </a:rPr>
                            <a:t>TSH 4.5 – 10 mU/L</a:t>
                          </a:r>
                        </a:p>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200" b="1" i="0" u="none" strike="noStrike" kern="1200" cap="none" spc="0" normalizeH="0" baseline="0" noProof="0" dirty="0">
                              <a:ln>
                                <a:noFill/>
                              </a:ln>
                              <a:solidFill>
                                <a:prstClr val="black"/>
                              </a:solidFill>
                              <a:effectLst/>
                              <a:uLnTx/>
                              <a:uFillTx/>
                              <a:latin typeface="Calibri"/>
                              <a:ea typeface="+mn-ea"/>
                              <a:cs typeface="+mn-cs"/>
                            </a:rPr>
                            <a:t>anti-TPO positive</a:t>
                          </a:r>
                        </a:p>
                      </a:txBody>
                      <a:useSpRect/>
                    </a:txSp>
                  </a:sp>
                  <a:sp>
                    <a:nvSpPr>
                      <a:cNvPr id="16" name="TextBox 15"/>
                      <a:cNvSpPr txBox="1"/>
                    </a:nvSpPr>
                    <a:spPr>
                      <a:xfrm>
                        <a:off x="2002138" y="4101010"/>
                        <a:ext cx="1092800" cy="276999"/>
                      </a:xfrm>
                      <a:prstGeom prst="rect">
                        <a:avLst/>
                      </a:prstGeom>
                      <a:noFill/>
                    </a:spPr>
                    <a:txSp>
                      <a:txBody>
                        <a:bodyPr wrap="non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200" b="1" i="0" u="none" strike="noStrike" kern="1200" cap="none" spc="0" normalizeH="0" baseline="0" noProof="0" dirty="0">
                              <a:ln>
                                <a:noFill/>
                              </a:ln>
                              <a:solidFill>
                                <a:prstClr val="black"/>
                              </a:solidFill>
                              <a:effectLst/>
                              <a:uLnTx/>
                              <a:uFillTx/>
                              <a:latin typeface="Calibri"/>
                              <a:ea typeface="+mn-ea"/>
                              <a:cs typeface="+mn-cs"/>
                            </a:rPr>
                            <a:t>TSH &gt;10 mU/L</a:t>
                          </a:r>
                        </a:p>
                      </a:txBody>
                      <a:useSpRect/>
                    </a:txSp>
                  </a:sp>
                  <a:sp>
                    <a:nvSpPr>
                      <a:cNvPr id="29" name="Rectangle 28"/>
                      <a:cNvSpPr/>
                    </a:nvSpPr>
                    <a:spPr>
                      <a:xfrm>
                        <a:off x="35496" y="4094580"/>
                        <a:ext cx="1440160" cy="830997"/>
                      </a:xfrm>
                      <a:prstGeom prst="rect">
                        <a:avLst/>
                      </a:prstGeom>
                    </a:spPr>
                    <a:txSp>
                      <a:txBody>
                        <a:bodyPr wrap="square">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ctr" defTabSz="914400" rtl="0" eaLnBrk="1" fontAlgn="auto" latinLnBrk="0" hangingPunct="1">
                            <a:lnSpc>
                              <a:spcPct val="100000"/>
                            </a:lnSpc>
                            <a:spcBef>
                              <a:spcPts val="0"/>
                            </a:spcBef>
                            <a:spcAft>
                              <a:spcPts val="0"/>
                            </a:spcAft>
                            <a:buClrTx/>
                            <a:buSzTx/>
                            <a:buFontTx/>
                            <a:buNone/>
                            <a:tabLst/>
                            <a:defRPr/>
                          </a:pPr>
                          <a:r>
                            <a:rPr kumimoji="0" lang="en-GB" sz="1200" b="1" i="0" u="none" strike="noStrike" kern="1200" cap="none" spc="0" normalizeH="0" baseline="0" noProof="0" dirty="0">
                              <a:ln>
                                <a:noFill/>
                              </a:ln>
                              <a:solidFill>
                                <a:prstClr val="black"/>
                              </a:solidFill>
                              <a:effectLst/>
                              <a:uLnTx/>
                              <a:uFillTx/>
                              <a:latin typeface="Calibri"/>
                              <a:ea typeface="+mn-ea"/>
                              <a:cs typeface="+mn-cs"/>
                            </a:rPr>
                            <a:t>TSH in ref range</a:t>
                          </a:r>
                        </a:p>
                        <a:p>
                          <a:pPr marL="0" marR="0" lvl="0" indent="0" algn="ctr" defTabSz="914400" rtl="0" eaLnBrk="1" fontAlgn="auto" latinLnBrk="0" hangingPunct="1">
                            <a:lnSpc>
                              <a:spcPct val="100000"/>
                            </a:lnSpc>
                            <a:spcBef>
                              <a:spcPts val="0"/>
                            </a:spcBef>
                            <a:spcAft>
                              <a:spcPts val="0"/>
                            </a:spcAft>
                            <a:buClrTx/>
                            <a:buSzTx/>
                            <a:buFontTx/>
                            <a:buNone/>
                            <a:tabLst/>
                            <a:defRPr/>
                          </a:pPr>
                          <a:r>
                            <a:rPr kumimoji="0" lang="en-GB" sz="1200" b="1" i="0" u="none" strike="noStrike" kern="1200" cap="none" spc="0" normalizeH="0" baseline="0" noProof="0" dirty="0">
                              <a:ln>
                                <a:noFill/>
                              </a:ln>
                              <a:solidFill>
                                <a:prstClr val="black"/>
                              </a:solidFill>
                              <a:effectLst/>
                              <a:uLnTx/>
                              <a:uFillTx/>
                              <a:latin typeface="Calibri"/>
                              <a:ea typeface="+mn-ea"/>
                              <a:cs typeface="+mn-cs"/>
                            </a:rPr>
                            <a:t>or</a:t>
                          </a:r>
                        </a:p>
                        <a:p>
                          <a:pPr marL="0" marR="0" lvl="0" indent="0" algn="ctr" defTabSz="914400" rtl="0" eaLnBrk="1" fontAlgn="auto" latinLnBrk="0" hangingPunct="1">
                            <a:lnSpc>
                              <a:spcPct val="100000"/>
                            </a:lnSpc>
                            <a:spcBef>
                              <a:spcPts val="0"/>
                            </a:spcBef>
                            <a:spcAft>
                              <a:spcPts val="0"/>
                            </a:spcAft>
                            <a:buClrTx/>
                            <a:buSzTx/>
                            <a:buFontTx/>
                            <a:buNone/>
                            <a:tabLst/>
                            <a:defRPr/>
                          </a:pPr>
                          <a:r>
                            <a:rPr kumimoji="0" lang="en-GB" sz="1200" b="1" i="0" u="none" strike="noStrike" kern="1200" cap="none" spc="0" normalizeH="0" baseline="0" noProof="0" dirty="0">
                              <a:ln>
                                <a:noFill/>
                              </a:ln>
                              <a:solidFill>
                                <a:prstClr val="black"/>
                              </a:solidFill>
                              <a:effectLst/>
                              <a:uLnTx/>
                              <a:uFillTx/>
                              <a:latin typeface="Calibri"/>
                              <a:ea typeface="+mn-ea"/>
                              <a:cs typeface="+mn-cs"/>
                            </a:rPr>
                            <a:t>TSH &lt;10 mU/L,</a:t>
                          </a:r>
                        </a:p>
                        <a:p>
                          <a:pPr marL="0" marR="0" lvl="0" indent="0" algn="ctr" defTabSz="914400" rtl="0" eaLnBrk="1" fontAlgn="auto" latinLnBrk="0" hangingPunct="1">
                            <a:lnSpc>
                              <a:spcPct val="100000"/>
                            </a:lnSpc>
                            <a:spcBef>
                              <a:spcPts val="0"/>
                            </a:spcBef>
                            <a:spcAft>
                              <a:spcPts val="0"/>
                            </a:spcAft>
                            <a:buClrTx/>
                            <a:buSzTx/>
                            <a:buFontTx/>
                            <a:buNone/>
                            <a:tabLst/>
                            <a:defRPr/>
                          </a:pPr>
                          <a:r>
                            <a:rPr kumimoji="0" lang="en-GB" sz="1200" b="1" i="0" u="none" strike="noStrike" kern="1200" cap="none" spc="0" normalizeH="0" baseline="0" noProof="0" dirty="0">
                              <a:ln>
                                <a:noFill/>
                              </a:ln>
                              <a:solidFill>
                                <a:prstClr val="black"/>
                              </a:solidFill>
                              <a:effectLst/>
                              <a:uLnTx/>
                              <a:uFillTx/>
                              <a:latin typeface="Calibri"/>
                              <a:ea typeface="+mn-ea"/>
                              <a:cs typeface="+mn-cs"/>
                            </a:rPr>
                            <a:t>and anti-TPO neg</a:t>
                          </a:r>
                        </a:p>
                      </a:txBody>
                      <a:useSpRect/>
                    </a:txSp>
                  </a:sp>
                  <a:sp>
                    <a:nvSpPr>
                      <a:cNvPr id="35" name="TextBox 34"/>
                      <a:cNvSpPr txBox="1"/>
                    </a:nvSpPr>
                    <a:spPr>
                      <a:xfrm>
                        <a:off x="6662770" y="5478323"/>
                        <a:ext cx="2445734" cy="830997"/>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200" b="0" i="0" u="none" strike="noStrike" kern="1200" cap="none" spc="0" normalizeH="0" baseline="0" noProof="0" dirty="0">
                              <a:ln>
                                <a:noFill/>
                              </a:ln>
                              <a:solidFill>
                                <a:prstClr val="black"/>
                              </a:solidFill>
                              <a:effectLst/>
                              <a:uLnTx/>
                              <a:uFillTx/>
                              <a:latin typeface="Calibri"/>
                              <a:ea typeface="+mn-ea"/>
                              <a:cs typeface="+mn-cs"/>
                            </a:rPr>
                            <a:t>*Laboratory will selectively add:</a:t>
                          </a:r>
                        </a:p>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200" b="0" i="0" u="none" strike="noStrike" kern="1200" cap="none" spc="0" normalizeH="0" baseline="0" noProof="0" dirty="0">
                              <a:ln>
                                <a:noFill/>
                              </a:ln>
                              <a:solidFill>
                                <a:prstClr val="black"/>
                              </a:solidFill>
                              <a:effectLst/>
                              <a:uLnTx/>
                              <a:uFillTx/>
                              <a:latin typeface="Calibri"/>
                              <a:ea typeface="+mn-ea"/>
                              <a:cs typeface="+mn-cs"/>
                            </a:rPr>
                            <a:t>- comment pointing to this guidance</a:t>
                          </a:r>
                        </a:p>
                        <a:p>
                          <a:pPr marL="0" marR="0" lvl="0" indent="0" algn="l" defTabSz="914400" rtl="0" eaLnBrk="1" fontAlgn="auto" latinLnBrk="0" hangingPunct="1">
                            <a:lnSpc>
                              <a:spcPct val="100000"/>
                            </a:lnSpc>
                            <a:spcBef>
                              <a:spcPts val="0"/>
                            </a:spcBef>
                            <a:spcAft>
                              <a:spcPts val="0"/>
                            </a:spcAft>
                            <a:buClrTx/>
                            <a:buSzTx/>
                            <a:buFontTx/>
                            <a:buChar char="-"/>
                            <a:tabLst/>
                            <a:defRPr/>
                          </a:pPr>
                          <a:r>
                            <a:rPr kumimoji="0" lang="en-GB" sz="1200" b="0" i="0" u="none" strike="noStrike" kern="1200" cap="none" spc="0" normalizeH="0" baseline="0" noProof="0" dirty="0">
                              <a:ln>
                                <a:noFill/>
                              </a:ln>
                              <a:solidFill>
                                <a:prstClr val="black"/>
                              </a:solidFill>
                              <a:effectLst/>
                              <a:uLnTx/>
                              <a:uFillTx/>
                              <a:latin typeface="Calibri"/>
                              <a:ea typeface="+mn-ea"/>
                              <a:cs typeface="+mn-cs"/>
                            </a:rPr>
                            <a:t> anti-TPO request </a:t>
                          </a:r>
                        </a:p>
                        <a:p>
                          <a:pPr marL="0" marR="0" lvl="0" indent="0" algn="l" defTabSz="914400" rtl="0" eaLnBrk="1" fontAlgn="auto" latinLnBrk="0" hangingPunct="1">
                            <a:lnSpc>
                              <a:spcPct val="100000"/>
                            </a:lnSpc>
                            <a:spcBef>
                              <a:spcPts val="0"/>
                            </a:spcBef>
                            <a:spcAft>
                              <a:spcPts val="0"/>
                            </a:spcAft>
                            <a:buClrTx/>
                            <a:buSzTx/>
                            <a:buFontTx/>
                            <a:buNone/>
                            <a:tabLst/>
                            <a:defRPr/>
                          </a:pPr>
                          <a:endParaRPr kumimoji="0" lang="en-GB" sz="1200" b="0" i="0" u="none" strike="noStrike" kern="1200" cap="none" spc="0" normalizeH="0" baseline="0" noProof="0" dirty="0">
                            <a:ln>
                              <a:noFill/>
                            </a:ln>
                            <a:solidFill>
                              <a:prstClr val="black"/>
                            </a:solidFill>
                            <a:effectLst/>
                            <a:uLnTx/>
                            <a:uFillTx/>
                            <a:latin typeface="Calibri"/>
                            <a:ea typeface="+mn-ea"/>
                            <a:cs typeface="+mn-cs"/>
                          </a:endParaRPr>
                        </a:p>
                      </a:txBody>
                      <a:useSpRect/>
                    </a:txSp>
                  </a:sp>
                  <a:sp>
                    <a:nvSpPr>
                      <a:cNvPr id="38" name="TextBox 37"/>
                      <a:cNvSpPr txBox="1"/>
                    </a:nvSpPr>
                    <a:spPr>
                      <a:xfrm>
                        <a:off x="1979712" y="4265220"/>
                        <a:ext cx="1152128" cy="246221"/>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000" b="0" i="0" u="none" strike="noStrike" kern="1200" cap="none" spc="0" normalizeH="0" baseline="0" noProof="0" dirty="0" smtClean="0">
                              <a:ln>
                                <a:noFill/>
                              </a:ln>
                              <a:solidFill>
                                <a:prstClr val="black"/>
                              </a:solidFill>
                              <a:effectLst/>
                              <a:uLnTx/>
                              <a:uFillTx/>
                              <a:latin typeface="Calibri"/>
                              <a:ea typeface="+mn-ea"/>
                              <a:cs typeface="+mn-cs"/>
                            </a:rPr>
                            <a:t>- Start T4</a:t>
                          </a:r>
                          <a:r>
                            <a:rPr kumimoji="0" lang="en-GB" sz="1000" b="0" i="0" u="none" strike="noStrike" kern="1200" cap="none" spc="0" normalizeH="0" noProof="0" dirty="0" smtClean="0">
                              <a:ln>
                                <a:noFill/>
                              </a:ln>
                              <a:solidFill>
                                <a:prstClr val="black"/>
                              </a:solidFill>
                              <a:effectLst/>
                              <a:uLnTx/>
                              <a:uFillTx/>
                              <a:latin typeface="Calibri"/>
                              <a:ea typeface="+mn-ea"/>
                              <a:cs typeface="+mn-cs"/>
                            </a:rPr>
                            <a:t> </a:t>
                          </a:r>
                          <a:r>
                            <a:rPr kumimoji="0" lang="en-GB" sz="1000" b="0" i="0" u="none" strike="noStrike" kern="1200" cap="none" spc="0" normalizeH="0" baseline="0" noProof="0" dirty="0" smtClean="0">
                              <a:ln>
                                <a:noFill/>
                              </a:ln>
                              <a:solidFill>
                                <a:prstClr val="black"/>
                              </a:solidFill>
                              <a:effectLst/>
                              <a:uLnTx/>
                              <a:uFillTx/>
                              <a:latin typeface="Calibri"/>
                              <a:ea typeface="+mn-ea"/>
                              <a:cs typeface="+mn-cs"/>
                            </a:rPr>
                            <a:t>therapy</a:t>
                          </a:r>
                          <a:endParaRPr kumimoji="0" lang="en-GB" sz="1000" b="0" i="0" u="none" strike="noStrike" kern="1200" cap="none" spc="0" normalizeH="0" baseline="0" noProof="0" dirty="0">
                            <a:ln>
                              <a:noFill/>
                            </a:ln>
                            <a:solidFill>
                              <a:prstClr val="black"/>
                            </a:solidFill>
                            <a:effectLst/>
                            <a:uLnTx/>
                            <a:uFillTx/>
                            <a:latin typeface="Calibri"/>
                            <a:ea typeface="+mn-ea"/>
                            <a:cs typeface="+mn-cs"/>
                          </a:endParaRPr>
                        </a:p>
                      </a:txBody>
                      <a:useSpRect/>
                    </a:txSp>
                  </a:sp>
                  <a:sp>
                    <a:nvSpPr>
                      <a:cNvPr id="39" name="TextBox 38"/>
                      <a:cNvSpPr txBox="1"/>
                    </a:nvSpPr>
                    <a:spPr>
                      <a:xfrm>
                        <a:off x="1187624" y="5683314"/>
                        <a:ext cx="1950264" cy="553998"/>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Annual TFTs</a:t>
                          </a:r>
                        </a:p>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Repeat pre-conception advice for sub-clinical hypothyroidism</a:t>
                          </a:r>
                        </a:p>
                      </a:txBody>
                      <a:useSpRect/>
                    </a:txSp>
                  </a:sp>
                  <a:sp>
                    <a:nvSpPr>
                      <a:cNvPr id="40" name="TextBox 39"/>
                      <a:cNvSpPr txBox="1"/>
                    </a:nvSpPr>
                    <a:spPr>
                      <a:xfrm>
                        <a:off x="96105" y="4819218"/>
                        <a:ext cx="1296144" cy="553998"/>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Unlikely sub-clinical</a:t>
                          </a:r>
                        </a:p>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hypothyroidism</a:t>
                          </a:r>
                        </a:p>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No further action</a:t>
                          </a:r>
                        </a:p>
                      </a:txBody>
                      <a:useSpRect/>
                    </a:txSp>
                  </a:sp>
                  <a:sp>
                    <a:nvSpPr>
                      <a:cNvPr id="41" name="TextBox 40"/>
                      <a:cNvSpPr txBox="1"/>
                    </a:nvSpPr>
                    <a:spPr>
                      <a:xfrm>
                        <a:off x="4139952" y="2924944"/>
                        <a:ext cx="1012008" cy="276999"/>
                      </a:xfrm>
                      <a:prstGeom prst="rect">
                        <a:avLst/>
                      </a:prstGeom>
                      <a:noFill/>
                    </a:spPr>
                    <a:txSp>
                      <a:txBody>
                        <a:bodyPr wrap="non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200" b="1" i="0" u="none" strike="noStrike" kern="1200" cap="none" spc="0" normalizeH="0" baseline="0" noProof="0" dirty="0">
                              <a:ln>
                                <a:noFill/>
                              </a:ln>
                              <a:solidFill>
                                <a:prstClr val="black"/>
                              </a:solidFill>
                              <a:effectLst/>
                              <a:uLnTx/>
                              <a:uFillTx/>
                              <a:latin typeface="Calibri"/>
                              <a:ea typeface="+mn-ea"/>
                              <a:cs typeface="+mn-cs"/>
                            </a:rPr>
                            <a:t>anti-TPO neg</a:t>
                          </a:r>
                        </a:p>
                      </a:txBody>
                      <a:useSpRect/>
                    </a:txSp>
                  </a:sp>
                  <a:sp>
                    <a:nvSpPr>
                      <a:cNvPr id="42" name="TextBox 41"/>
                      <a:cNvSpPr txBox="1"/>
                    </a:nvSpPr>
                    <a:spPr>
                      <a:xfrm>
                        <a:off x="5579990" y="2924944"/>
                        <a:ext cx="1283108" cy="276999"/>
                      </a:xfrm>
                      <a:prstGeom prst="rect">
                        <a:avLst/>
                      </a:prstGeom>
                      <a:noFill/>
                    </a:spPr>
                    <a:txSp>
                      <a:txBody>
                        <a:bodyPr wrap="non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200" b="1" i="0" u="none" strike="noStrike" kern="1200" cap="none" spc="0" normalizeH="0" baseline="0" noProof="0" dirty="0">
                              <a:ln>
                                <a:noFill/>
                              </a:ln>
                              <a:solidFill>
                                <a:prstClr val="black"/>
                              </a:solidFill>
                              <a:effectLst/>
                              <a:uLnTx/>
                              <a:uFillTx/>
                              <a:latin typeface="Calibri"/>
                              <a:ea typeface="+mn-ea"/>
                              <a:cs typeface="+mn-cs"/>
                            </a:rPr>
                            <a:t>anti-TPO positive</a:t>
                          </a:r>
                        </a:p>
                      </a:txBody>
                      <a:useSpRect/>
                    </a:txSp>
                  </a:sp>
                  <a:sp>
                    <a:nvSpPr>
                      <a:cNvPr id="43" name="TextBox 42"/>
                      <a:cNvSpPr txBox="1"/>
                    </a:nvSpPr>
                    <a:spPr>
                      <a:xfrm>
                        <a:off x="5566274" y="3091026"/>
                        <a:ext cx="1526005" cy="553998"/>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Char char="-"/>
                            <a:tabLst/>
                            <a:defRPr/>
                          </a:pPr>
                          <a:r>
                            <a:rPr kumimoji="0" lang="en-GB" sz="1000" i="0" u="none" strike="noStrike" kern="1200" cap="none" spc="0" normalizeH="0" baseline="0" noProof="0" dirty="0">
                              <a:ln>
                                <a:noFill/>
                              </a:ln>
                              <a:solidFill>
                                <a:prstClr val="black"/>
                              </a:solidFill>
                              <a:effectLst/>
                              <a:uLnTx/>
                              <a:uFillTx/>
                              <a:latin typeface="Calibri"/>
                              <a:ea typeface="+mn-ea"/>
                              <a:cs typeface="+mn-cs"/>
                            </a:rPr>
                            <a:t>Start T4 therapy </a:t>
                          </a:r>
                          <a:r>
                            <a:rPr kumimoji="0" lang="en-GB" sz="1000" i="0" u="none" strike="noStrike" kern="1200" cap="none" spc="0" normalizeH="0" baseline="0" noProof="0" dirty="0" smtClean="0">
                              <a:ln>
                                <a:noFill/>
                              </a:ln>
                              <a:solidFill>
                                <a:prstClr val="black"/>
                              </a:solidFill>
                              <a:effectLst/>
                              <a:uLnTx/>
                              <a:uFillTx/>
                              <a:latin typeface="Calibri"/>
                              <a:ea typeface="+mn-ea"/>
                              <a:cs typeface="+mn-cs"/>
                            </a:rPr>
                            <a:t>e.g. 25 -</a:t>
                          </a:r>
                          <a:r>
                            <a:rPr kumimoji="0" lang="en-GB" sz="1000" i="0" u="none" strike="noStrike" kern="1200" cap="none" spc="0" normalizeH="0" baseline="0" noProof="0" dirty="0">
                              <a:ln>
                                <a:noFill/>
                              </a:ln>
                              <a:solidFill>
                                <a:prstClr val="black"/>
                              </a:solidFill>
                              <a:effectLst/>
                              <a:uLnTx/>
                              <a:uFillTx/>
                              <a:latin typeface="Calibri"/>
                              <a:ea typeface="+mn-ea"/>
                              <a:cs typeface="+mn-cs"/>
                            </a:rPr>
                            <a:t>50 mcg levothyroxine</a:t>
                          </a:r>
                        </a:p>
                        <a:p>
                          <a:pPr marL="0" marR="0" lvl="0" indent="0" algn="l" defTabSz="914400" rtl="0" eaLnBrk="1" fontAlgn="auto" latinLnBrk="0" hangingPunct="1">
                            <a:lnSpc>
                              <a:spcPct val="100000"/>
                            </a:lnSpc>
                            <a:spcBef>
                              <a:spcPts val="0"/>
                            </a:spcBef>
                            <a:spcAft>
                              <a:spcPts val="0"/>
                            </a:spcAft>
                            <a:buClrTx/>
                            <a:buSzTx/>
                            <a:buFontTx/>
                            <a:buChar char="-"/>
                            <a:tabLst/>
                            <a:defRPr/>
                          </a:pPr>
                          <a:r>
                            <a:rPr kumimoji="0" lang="en-GB" sz="1000" i="0" u="none" strike="noStrike" kern="1200" cap="none" spc="0" normalizeH="0" baseline="0" noProof="0" dirty="0">
                              <a:ln>
                                <a:noFill/>
                              </a:ln>
                              <a:solidFill>
                                <a:prstClr val="black"/>
                              </a:solidFill>
                              <a:effectLst/>
                              <a:uLnTx/>
                              <a:uFillTx/>
                              <a:latin typeface="Calibri"/>
                              <a:ea typeface="+mn-ea"/>
                              <a:cs typeface="+mn-cs"/>
                            </a:rPr>
                            <a:t> Review after 6 weeks </a:t>
                          </a:r>
                        </a:p>
                      </a:txBody>
                      <a:useSpRect/>
                    </a:txSp>
                  </a:sp>
                  <a:sp>
                    <a:nvSpPr>
                      <a:cNvPr id="45" name="TextBox 44"/>
                      <a:cNvSpPr txBox="1"/>
                    </a:nvSpPr>
                    <a:spPr>
                      <a:xfrm>
                        <a:off x="4211960" y="5301208"/>
                        <a:ext cx="1362104" cy="276999"/>
                      </a:xfrm>
                      <a:prstGeom prst="rect">
                        <a:avLst/>
                      </a:prstGeom>
                      <a:noFill/>
                    </a:spPr>
                    <a:txSp>
                      <a:txBody>
                        <a:bodyPr wrap="non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200" b="1" i="0" u="none" strike="noStrike" kern="1200" cap="none" spc="0" normalizeH="0" baseline="0" noProof="0" dirty="0">
                              <a:ln>
                                <a:noFill/>
                              </a:ln>
                              <a:solidFill>
                                <a:prstClr val="black"/>
                              </a:solidFill>
                              <a:effectLst/>
                              <a:uLnTx/>
                              <a:uFillTx/>
                              <a:latin typeface="Calibri"/>
                              <a:ea typeface="+mn-ea"/>
                              <a:cs typeface="+mn-cs"/>
                            </a:rPr>
                            <a:t>TSH 4.5 – 10 mU/L</a:t>
                          </a:r>
                        </a:p>
                      </a:txBody>
                      <a:useSpRect/>
                    </a:txSp>
                  </a:sp>
                  <a:sp>
                    <a:nvSpPr>
                      <a:cNvPr id="46" name="TextBox 45"/>
                      <a:cNvSpPr txBox="1"/>
                    </a:nvSpPr>
                    <a:spPr>
                      <a:xfrm>
                        <a:off x="5292080" y="4149080"/>
                        <a:ext cx="1092800" cy="276999"/>
                      </a:xfrm>
                      <a:prstGeom prst="rect">
                        <a:avLst/>
                      </a:prstGeom>
                      <a:noFill/>
                    </a:spPr>
                    <a:txSp>
                      <a:txBody>
                        <a:bodyPr wrap="non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200" b="1" i="0" u="none" strike="noStrike" kern="1200" cap="none" spc="0" normalizeH="0" baseline="0" noProof="0" dirty="0">
                              <a:ln>
                                <a:noFill/>
                              </a:ln>
                              <a:solidFill>
                                <a:prstClr val="black"/>
                              </a:solidFill>
                              <a:effectLst/>
                              <a:uLnTx/>
                              <a:uFillTx/>
                              <a:latin typeface="Calibri"/>
                              <a:ea typeface="+mn-ea"/>
                              <a:cs typeface="+mn-cs"/>
                            </a:rPr>
                            <a:t>TSH &gt;10 mU/L</a:t>
                          </a:r>
                        </a:p>
                      </a:txBody>
                      <a:useSpRect/>
                    </a:txSp>
                  </a:sp>
                  <a:sp>
                    <a:nvSpPr>
                      <a:cNvPr id="47" name="Rectangle 46"/>
                      <a:cNvSpPr/>
                    </a:nvSpPr>
                    <a:spPr>
                      <a:xfrm>
                        <a:off x="3203848" y="4088105"/>
                        <a:ext cx="1296144" cy="276999"/>
                      </a:xfrm>
                      <a:prstGeom prst="rect">
                        <a:avLst/>
                      </a:prstGeom>
                    </a:spPr>
                    <a:txSp>
                      <a:txBody>
                        <a:bodyPr wrap="square">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ctr" defTabSz="914400" rtl="0" eaLnBrk="1" fontAlgn="auto" latinLnBrk="0" hangingPunct="1">
                            <a:lnSpc>
                              <a:spcPct val="100000"/>
                            </a:lnSpc>
                            <a:spcBef>
                              <a:spcPts val="0"/>
                            </a:spcBef>
                            <a:spcAft>
                              <a:spcPts val="0"/>
                            </a:spcAft>
                            <a:buClrTx/>
                            <a:buSzTx/>
                            <a:buFontTx/>
                            <a:buNone/>
                            <a:tabLst/>
                            <a:defRPr/>
                          </a:pPr>
                          <a:r>
                            <a:rPr kumimoji="0" lang="en-GB" sz="1200" b="1" i="0" u="none" strike="noStrike" kern="1200" cap="none" spc="0" normalizeH="0" baseline="0" noProof="0" dirty="0">
                              <a:ln>
                                <a:noFill/>
                              </a:ln>
                              <a:solidFill>
                                <a:prstClr val="black"/>
                              </a:solidFill>
                              <a:effectLst/>
                              <a:uLnTx/>
                              <a:uFillTx/>
                              <a:latin typeface="Calibri"/>
                              <a:ea typeface="+mn-ea"/>
                              <a:cs typeface="+mn-cs"/>
                            </a:rPr>
                            <a:t>TSH in ref range</a:t>
                          </a:r>
                        </a:p>
                      </a:txBody>
                      <a:useSpRect/>
                    </a:txSp>
                  </a:sp>
                  <a:sp>
                    <a:nvSpPr>
                      <a:cNvPr id="48" name="TextBox 47"/>
                      <a:cNvSpPr txBox="1"/>
                    </a:nvSpPr>
                    <a:spPr>
                      <a:xfrm>
                        <a:off x="3923928" y="3100898"/>
                        <a:ext cx="1584176" cy="246221"/>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Char char="-"/>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Repeat TFTs at 3 months</a:t>
                          </a:r>
                        </a:p>
                      </a:txBody>
                      <a:useSpRect/>
                    </a:txSp>
                  </a:sp>
                  <a:sp>
                    <a:nvSpPr>
                      <a:cNvPr id="49" name="TextBox 48"/>
                      <a:cNvSpPr txBox="1"/>
                    </a:nvSpPr>
                    <a:spPr>
                      <a:xfrm>
                        <a:off x="3203848" y="4293096"/>
                        <a:ext cx="1296144" cy="553998"/>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Unlikely sub-clinical</a:t>
                          </a:r>
                        </a:p>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hypothyroidism</a:t>
                          </a:r>
                        </a:p>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No further action</a:t>
                          </a:r>
                        </a:p>
                      </a:txBody>
                      <a:useSpRect/>
                    </a:txSp>
                  </a:sp>
                  <a:sp>
                    <a:nvSpPr>
                      <a:cNvPr id="50" name="TextBox 49"/>
                      <a:cNvSpPr txBox="1"/>
                    </a:nvSpPr>
                    <a:spPr>
                      <a:xfrm>
                        <a:off x="4211960" y="5517232"/>
                        <a:ext cx="1440160" cy="553998"/>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000" b="0" i="0" u="none" strike="noStrike" kern="1200" cap="none" spc="0" normalizeH="0" baseline="0" noProof="0" dirty="0" smtClean="0">
                              <a:ln>
                                <a:noFill/>
                              </a:ln>
                              <a:solidFill>
                                <a:prstClr val="black"/>
                              </a:solidFill>
                              <a:effectLst/>
                              <a:uLnTx/>
                              <a:uFillTx/>
                              <a:latin typeface="Calibri"/>
                              <a:ea typeface="+mn-ea"/>
                              <a:cs typeface="+mn-cs"/>
                            </a:rPr>
                            <a:t>- Seek </a:t>
                          </a:r>
                          <a:r>
                            <a:rPr kumimoji="0" lang="en-GB" sz="1000" b="0" i="0" u="none" strike="noStrike" kern="1200" cap="none" spc="0" normalizeH="0" baseline="0" noProof="0" dirty="0">
                              <a:ln>
                                <a:noFill/>
                              </a:ln>
                              <a:solidFill>
                                <a:prstClr val="black"/>
                              </a:solidFill>
                              <a:effectLst/>
                              <a:uLnTx/>
                              <a:uFillTx/>
                              <a:latin typeface="Calibri"/>
                              <a:ea typeface="+mn-ea"/>
                              <a:cs typeface="+mn-cs"/>
                            </a:rPr>
                            <a:t>advice from endocrinology re: ongoing management</a:t>
                          </a:r>
                        </a:p>
                      </a:txBody>
                      <a:useSpRect/>
                    </a:txSp>
                  </a:sp>
                  <a:sp>
                    <a:nvSpPr>
                      <a:cNvPr id="30" name="TextBox 29"/>
                      <a:cNvSpPr txBox="1"/>
                    </a:nvSpPr>
                    <a:spPr>
                      <a:xfrm>
                        <a:off x="5364088" y="1340768"/>
                        <a:ext cx="2592288" cy="400110"/>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Offer pre-conception counselling for possible sub-clinical hypothyroidism</a:t>
                          </a:r>
                        </a:p>
                      </a:txBody>
                      <a:useSpRect/>
                    </a:txSp>
                  </a:sp>
                  <a:cxnSp>
                    <a:nvCxnSpPr>
                      <a:cNvPr id="3" name="Straight Connector 2">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E23F84E1-2F0A-4AB9-A769-301379A8EA87}"/>
                          </a:ext>
                        </a:extLst>
                      </a:cNvPr>
                      <a:cNvCxnSpPr/>
                    </a:nvCxnSpPr>
                    <a:spPr>
                      <a:xfrm>
                        <a:off x="4644008" y="1638092"/>
                        <a:ext cx="0" cy="566772"/>
                      </a:xfrm>
                      <a:prstGeom prst="line">
                        <a:avLst/>
                      </a:prstGeom>
                      <a:ln>
                        <a:headEnd type="none" w="med" len="med"/>
                        <a:tailEnd type="arrow" w="med" len="med"/>
                      </a:ln>
                    </a:spPr>
                    <a:style>
                      <a:lnRef idx="1">
                        <a:schemeClr val="accent1"/>
                      </a:lnRef>
                      <a:fillRef idx="0">
                        <a:schemeClr val="accent1"/>
                      </a:fillRef>
                      <a:effectRef idx="0">
                        <a:schemeClr val="accent1"/>
                      </a:effectRef>
                      <a:fontRef idx="minor">
                        <a:schemeClr val="tx1"/>
                      </a:fontRef>
                    </a:style>
                  </a:cxnSp>
                  <a:cxnSp>
                    <a:nvCxnSpPr>
                      <a:cNvPr id="23" name="Straight Connector 22">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01C7A761-005D-4A09-B4C3-99040FB9151A}"/>
                          </a:ext>
                        </a:extLst>
                      </a:cNvPr>
                      <a:cNvCxnSpPr/>
                    </a:nvCxnSpPr>
                    <a:spPr>
                      <a:xfrm>
                        <a:off x="1662488" y="1916832"/>
                        <a:ext cx="6006746" cy="17545"/>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Straight Arrow Connector 25">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CC6B3ECE-31D6-428B-A134-682A9EBDD74F}"/>
                          </a:ext>
                        </a:extLst>
                      </a:cNvPr>
                      <a:cNvCxnSpPr/>
                    </a:nvCxnSpPr>
                    <a:spPr>
                      <a:xfrm>
                        <a:off x="1662488" y="1929255"/>
                        <a:ext cx="0" cy="293548"/>
                      </a:xfrm>
                      <a:prstGeom prst="straightConnector1">
                        <a:avLst/>
                      </a:prstGeom>
                      <a:ln>
                        <a:headEnd type="none" w="med" len="med"/>
                        <a:tailEnd type="arrow" w="med" len="med"/>
                      </a:ln>
                    </a:spPr>
                    <a:style>
                      <a:lnRef idx="1">
                        <a:schemeClr val="accent1"/>
                      </a:lnRef>
                      <a:fillRef idx="0">
                        <a:schemeClr val="accent1"/>
                      </a:fillRef>
                      <a:effectRef idx="0">
                        <a:schemeClr val="accent1"/>
                      </a:effectRef>
                      <a:fontRef idx="minor">
                        <a:schemeClr val="tx1"/>
                      </a:fontRef>
                    </a:style>
                  </a:cxnSp>
                  <a:cxnSp>
                    <a:nvCxnSpPr>
                      <a:cNvPr id="54" name="Straight Arrow Connector 53">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27FA030E-7010-4BE6-957C-C372392836D4}"/>
                          </a:ext>
                        </a:extLst>
                      </a:cNvPr>
                      <a:cNvCxnSpPr/>
                    </a:nvCxnSpPr>
                    <a:spPr>
                      <a:xfrm>
                        <a:off x="7661013" y="1937610"/>
                        <a:ext cx="0" cy="293548"/>
                      </a:xfrm>
                      <a:prstGeom prst="straightConnector1">
                        <a:avLst/>
                      </a:prstGeom>
                      <a:ln>
                        <a:headEnd type="none" w="med" len="med"/>
                        <a:tailEnd type="arrow" w="med" len="med"/>
                      </a:ln>
                    </a:spPr>
                    <a:style>
                      <a:lnRef idx="1">
                        <a:schemeClr val="accent1"/>
                      </a:lnRef>
                      <a:fillRef idx="0">
                        <a:schemeClr val="accent1"/>
                      </a:fillRef>
                      <a:effectRef idx="0">
                        <a:schemeClr val="accent1"/>
                      </a:effectRef>
                      <a:fontRef idx="minor">
                        <a:schemeClr val="tx1"/>
                      </a:fontRef>
                    </a:style>
                  </a:cxnSp>
                  <a:cxnSp>
                    <a:nvCxnSpPr>
                      <a:cNvPr id="56" name="Straight Arrow Connector 55">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1A73CA49-00DA-46F9-87BF-1E60AE484592}"/>
                          </a:ext>
                        </a:extLst>
                      </a:cNvPr>
                      <a:cNvCxnSpPr>
                        <a:cxnSpLocks/>
                      </a:cNvCxnSpPr>
                    </a:nvCxnSpPr>
                    <a:spPr>
                      <a:xfrm flipH="1">
                        <a:off x="1662488" y="2814027"/>
                        <a:ext cx="1" cy="227057"/>
                      </a:xfrm>
                      <a:prstGeom prst="straightConnector1">
                        <a:avLst/>
                      </a:prstGeom>
                      <a:ln>
                        <a:headEnd type="none" w="med" len="med"/>
                        <a:tailEnd type="arrow" w="med" len="med"/>
                      </a:ln>
                    </a:spPr>
                    <a:style>
                      <a:lnRef idx="1">
                        <a:schemeClr val="accent1"/>
                      </a:lnRef>
                      <a:fillRef idx="0">
                        <a:schemeClr val="accent1"/>
                      </a:fillRef>
                      <a:effectRef idx="0">
                        <a:schemeClr val="accent1"/>
                      </a:effectRef>
                      <a:fontRef idx="minor">
                        <a:schemeClr val="tx1"/>
                      </a:fontRef>
                    </a:style>
                  </a:cxnSp>
                  <a:cxnSp>
                    <a:nvCxnSpPr>
                      <a:cNvPr id="80" name="Straight Connector 79">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F7D6EEA2-9E5B-4BFF-A798-3CFC9617B8E3}"/>
                          </a:ext>
                        </a:extLst>
                      </a:cNvPr>
                      <a:cNvCxnSpPr/>
                    </a:nvCxnSpPr>
                    <a:spPr>
                      <a:xfrm>
                        <a:off x="3779912" y="3789040"/>
                        <a:ext cx="172819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1" name="Straight Arrow Connector 80">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ED2A0DC5-0EDD-4EE0-A7AB-1FBD4BC04E9D}"/>
                          </a:ext>
                        </a:extLst>
                      </a:cNvPr>
                      <a:cNvCxnSpPr>
                        <a:cxnSpLocks/>
                      </a:cNvCxnSpPr>
                    </a:nvCxnSpPr>
                    <a:spPr>
                      <a:xfrm>
                        <a:off x="3779912" y="3789040"/>
                        <a:ext cx="0" cy="360040"/>
                      </a:xfrm>
                      <a:prstGeom prst="straightConnector1">
                        <a:avLst/>
                      </a:prstGeom>
                      <a:ln>
                        <a:headEnd type="none" w="med" len="med"/>
                        <a:tailEnd type="arrow" w="med" len="med"/>
                      </a:ln>
                    </a:spPr>
                    <a:style>
                      <a:lnRef idx="1">
                        <a:schemeClr val="accent1"/>
                      </a:lnRef>
                      <a:fillRef idx="0">
                        <a:schemeClr val="accent1"/>
                      </a:fillRef>
                      <a:effectRef idx="0">
                        <a:schemeClr val="accent1"/>
                      </a:effectRef>
                      <a:fontRef idx="minor">
                        <a:schemeClr val="tx1"/>
                      </a:fontRef>
                    </a:style>
                  </a:cxnSp>
                  <a:cxnSp>
                    <a:nvCxnSpPr>
                      <a:cNvPr id="90" name="Straight Arrow Connector 89">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39C00526-E550-4CAB-AD41-90330E779F8D}"/>
                          </a:ext>
                        </a:extLst>
                      </a:cNvPr>
                      <a:cNvCxnSpPr/>
                    </a:nvCxnSpPr>
                    <a:spPr>
                      <a:xfrm>
                        <a:off x="4644008" y="2492896"/>
                        <a:ext cx="0" cy="421015"/>
                      </a:xfrm>
                      <a:prstGeom prst="straightConnector1">
                        <a:avLst/>
                      </a:prstGeom>
                      <a:ln>
                        <a:headEnd type="none" w="med" len="med"/>
                        <a:tailEnd type="arrow" w="med" len="med"/>
                      </a:ln>
                    </a:spPr>
                    <a:style>
                      <a:lnRef idx="1">
                        <a:schemeClr val="accent1"/>
                      </a:lnRef>
                      <a:fillRef idx="0">
                        <a:schemeClr val="accent1"/>
                      </a:fillRef>
                      <a:effectRef idx="0">
                        <a:schemeClr val="accent1"/>
                      </a:effectRef>
                      <a:fontRef idx="minor">
                        <a:schemeClr val="tx1"/>
                      </a:fontRef>
                    </a:style>
                  </a:cxnSp>
                  <a:cxnSp>
                    <a:nvCxnSpPr>
                      <a:cNvPr id="92" name="Straight Connector 91">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5CB0835E-3BBB-423B-BFF9-FF64F5338592}"/>
                          </a:ext>
                        </a:extLst>
                      </a:cNvPr>
                      <a:cNvCxnSpPr/>
                    </a:nvCxnSpPr>
                    <a:spPr>
                      <a:xfrm>
                        <a:off x="4644008" y="2608505"/>
                        <a:ext cx="1429841"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4" name="Straight Arrow Connector 93">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38DD8DC8-FF72-42E5-BA4F-55D936D89910}"/>
                          </a:ext>
                        </a:extLst>
                      </a:cNvPr>
                      <a:cNvCxnSpPr/>
                    </a:nvCxnSpPr>
                    <a:spPr>
                      <a:xfrm>
                        <a:off x="6073849" y="2596262"/>
                        <a:ext cx="0" cy="317649"/>
                      </a:xfrm>
                      <a:prstGeom prst="straightConnector1">
                        <a:avLst/>
                      </a:prstGeom>
                      <a:ln>
                        <a:headEnd type="none" w="med" len="med"/>
                        <a:tailEnd type="arrow" w="med" len="med"/>
                      </a:ln>
                    </a:spPr>
                    <a:style>
                      <a:lnRef idx="1">
                        <a:schemeClr val="accent1"/>
                      </a:lnRef>
                      <a:fillRef idx="0">
                        <a:schemeClr val="accent1"/>
                      </a:fillRef>
                      <a:effectRef idx="0">
                        <a:schemeClr val="accent1"/>
                      </a:effectRef>
                      <a:fontRef idx="minor">
                        <a:schemeClr val="tx1"/>
                      </a:fontRef>
                    </a:style>
                  </a:cxnSp>
                  <a:sp>
                    <a:nvSpPr>
                      <a:cNvPr id="57" name="TextBox 56"/>
                      <a:cNvSpPr txBox="1"/>
                    </a:nvSpPr>
                    <a:spPr>
                      <a:xfrm>
                        <a:off x="539552" y="2420888"/>
                        <a:ext cx="2376264" cy="400110"/>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Char char="-"/>
                            <a:tabLst/>
                            <a:defRPr/>
                          </a:pPr>
                          <a:r>
                            <a:rPr kumimoji="0" lang="en-GB" sz="1000" b="0" i="0" u="none" strike="noStrike" kern="1200" cap="none" spc="0" normalizeH="0" baseline="0" noProof="0" dirty="0">
                              <a:ln>
                                <a:noFill/>
                              </a:ln>
                              <a:solidFill>
                                <a:prstClr val="black"/>
                              </a:solidFill>
                              <a:effectLst/>
                              <a:uLnTx/>
                              <a:uFillTx/>
                              <a:latin typeface="Calibri"/>
                              <a:ea typeface="+mn-ea"/>
                              <a:cs typeface="+mn-cs"/>
                            </a:rPr>
                            <a:t> </a:t>
                          </a:r>
                          <a:r>
                            <a:rPr kumimoji="0" lang="en-GB" sz="1000" b="0" i="0" u="none" strike="noStrike" kern="1200" cap="none" spc="0" normalizeH="0" baseline="0" noProof="0" dirty="0" smtClean="0">
                              <a:ln>
                                <a:noFill/>
                              </a:ln>
                              <a:solidFill>
                                <a:prstClr val="black"/>
                              </a:solidFill>
                              <a:effectLst/>
                              <a:uLnTx/>
                              <a:uFillTx/>
                              <a:latin typeface="Calibri"/>
                              <a:ea typeface="+mn-ea"/>
                              <a:cs typeface="+mn-cs"/>
                            </a:rPr>
                            <a:t>Ask patient to return for TFTs if becomes pregnant, or decides</a:t>
                          </a:r>
                          <a:r>
                            <a:rPr kumimoji="0" lang="en-GB" sz="1000" b="0" i="0" u="none" strike="noStrike" kern="1200" cap="none" spc="0" normalizeH="0" noProof="0" dirty="0" smtClean="0">
                              <a:ln>
                                <a:noFill/>
                              </a:ln>
                              <a:solidFill>
                                <a:prstClr val="black"/>
                              </a:solidFill>
                              <a:effectLst/>
                              <a:uLnTx/>
                              <a:uFillTx/>
                              <a:latin typeface="Calibri"/>
                              <a:ea typeface="+mn-ea"/>
                              <a:cs typeface="+mn-cs"/>
                            </a:rPr>
                            <a:t> to try for pregnancy</a:t>
                          </a:r>
                          <a:endParaRPr kumimoji="0" lang="en-GB" sz="1000" b="0" i="0" u="none" strike="noStrike" kern="1200" cap="none" spc="0" normalizeH="0" baseline="0" noProof="0" dirty="0">
                            <a:ln>
                              <a:noFill/>
                            </a:ln>
                            <a:solidFill>
                              <a:prstClr val="black"/>
                            </a:solidFill>
                            <a:effectLst/>
                            <a:uLnTx/>
                            <a:uFillTx/>
                            <a:latin typeface="Calibri"/>
                            <a:ea typeface="+mn-ea"/>
                            <a:cs typeface="+mn-cs"/>
                          </a:endParaRPr>
                        </a:p>
                      </a:txBody>
                      <a:useSpRect/>
                    </a:txSp>
                  </a:sp>
                  <a:sp>
                    <a:nvSpPr>
                      <a:cNvPr id="58" name="TextBox 57"/>
                      <a:cNvSpPr txBox="1"/>
                    </a:nvSpPr>
                    <a:spPr>
                      <a:xfrm>
                        <a:off x="5221218" y="4332299"/>
                        <a:ext cx="1152128" cy="246221"/>
                      </a:xfrm>
                      <a:prstGeom prst="rect">
                        <a:avLst/>
                      </a:prstGeom>
                      <a:noFill/>
                    </a:spPr>
                    <a:txSp>
                      <a:txBody>
                        <a:bodyPr wrap="square" rtlCol="0">
                          <a:spAutoFit/>
                        </a:bodyPr>
                        <a:lstStyle>
                          <a:defPPr>
                            <a:defRPr lang="en-GB"/>
                          </a:defPPr>
                          <a:lvl1pPr algn="l" rtl="0" fontAlgn="base">
                            <a:spcBef>
                              <a:spcPct val="0"/>
                            </a:spcBef>
                            <a:spcAft>
                              <a:spcPct val="0"/>
                            </a:spcAft>
                            <a:defRPr kern="1200">
                              <a:solidFill>
                                <a:schemeClr val="tx1"/>
                              </a:solidFill>
                              <a:latin typeface="Comic Sans MS" pitchFamily="66" charset="0"/>
                              <a:ea typeface="+mn-ea"/>
                              <a:cs typeface="Arial" charset="0"/>
                            </a:defRPr>
                          </a:lvl1pPr>
                          <a:lvl2pPr marL="457200" algn="l" rtl="0" fontAlgn="base">
                            <a:spcBef>
                              <a:spcPct val="0"/>
                            </a:spcBef>
                            <a:spcAft>
                              <a:spcPct val="0"/>
                            </a:spcAft>
                            <a:defRPr kern="1200">
                              <a:solidFill>
                                <a:schemeClr val="tx1"/>
                              </a:solidFill>
                              <a:latin typeface="Comic Sans MS" pitchFamily="66" charset="0"/>
                              <a:ea typeface="+mn-ea"/>
                              <a:cs typeface="Arial" charset="0"/>
                            </a:defRPr>
                          </a:lvl2pPr>
                          <a:lvl3pPr marL="914400" algn="l" rtl="0" fontAlgn="base">
                            <a:spcBef>
                              <a:spcPct val="0"/>
                            </a:spcBef>
                            <a:spcAft>
                              <a:spcPct val="0"/>
                            </a:spcAft>
                            <a:defRPr kern="1200">
                              <a:solidFill>
                                <a:schemeClr val="tx1"/>
                              </a:solidFill>
                              <a:latin typeface="Comic Sans MS" pitchFamily="66" charset="0"/>
                              <a:ea typeface="+mn-ea"/>
                              <a:cs typeface="Arial" charset="0"/>
                            </a:defRPr>
                          </a:lvl3pPr>
                          <a:lvl4pPr marL="1371600" algn="l" rtl="0" fontAlgn="base">
                            <a:spcBef>
                              <a:spcPct val="0"/>
                            </a:spcBef>
                            <a:spcAft>
                              <a:spcPct val="0"/>
                            </a:spcAft>
                            <a:defRPr kern="1200">
                              <a:solidFill>
                                <a:schemeClr val="tx1"/>
                              </a:solidFill>
                              <a:latin typeface="Comic Sans MS" pitchFamily="66" charset="0"/>
                              <a:ea typeface="+mn-ea"/>
                              <a:cs typeface="Arial" charset="0"/>
                            </a:defRPr>
                          </a:lvl4pPr>
                          <a:lvl5pPr marL="1828800" algn="l" rtl="0" fontAlgn="base">
                            <a:spcBef>
                              <a:spcPct val="0"/>
                            </a:spcBef>
                            <a:spcAft>
                              <a:spcPct val="0"/>
                            </a:spcAft>
                            <a:defRPr kern="1200">
                              <a:solidFill>
                                <a:schemeClr val="tx1"/>
                              </a:solidFill>
                              <a:latin typeface="Comic Sans MS" pitchFamily="66" charset="0"/>
                              <a:ea typeface="+mn-ea"/>
                              <a:cs typeface="Arial" charset="0"/>
                            </a:defRPr>
                          </a:lvl5pPr>
                          <a:lvl6pPr marL="2286000" algn="l" defTabSz="914400" rtl="0" eaLnBrk="1" latinLnBrk="0" hangingPunct="1">
                            <a:defRPr kern="1200">
                              <a:solidFill>
                                <a:schemeClr val="tx1"/>
                              </a:solidFill>
                              <a:latin typeface="Comic Sans MS" pitchFamily="66" charset="0"/>
                              <a:ea typeface="+mn-ea"/>
                              <a:cs typeface="Arial" charset="0"/>
                            </a:defRPr>
                          </a:lvl6pPr>
                          <a:lvl7pPr marL="2743200" algn="l" defTabSz="914400" rtl="0" eaLnBrk="1" latinLnBrk="0" hangingPunct="1">
                            <a:defRPr kern="1200">
                              <a:solidFill>
                                <a:schemeClr val="tx1"/>
                              </a:solidFill>
                              <a:latin typeface="Comic Sans MS" pitchFamily="66" charset="0"/>
                              <a:ea typeface="+mn-ea"/>
                              <a:cs typeface="Arial" charset="0"/>
                            </a:defRPr>
                          </a:lvl7pPr>
                          <a:lvl8pPr marL="3200400" algn="l" defTabSz="914400" rtl="0" eaLnBrk="1" latinLnBrk="0" hangingPunct="1">
                            <a:defRPr kern="1200">
                              <a:solidFill>
                                <a:schemeClr val="tx1"/>
                              </a:solidFill>
                              <a:latin typeface="Comic Sans MS" pitchFamily="66" charset="0"/>
                              <a:ea typeface="+mn-ea"/>
                              <a:cs typeface="Arial" charset="0"/>
                            </a:defRPr>
                          </a:lvl8pPr>
                          <a:lvl9pPr marL="3657600" algn="l" defTabSz="914400" rtl="0" eaLnBrk="1" latinLnBrk="0" hangingPunct="1">
                            <a:defRPr kern="1200">
                              <a:solidFill>
                                <a:schemeClr val="tx1"/>
                              </a:solidFill>
                              <a:latin typeface="Comic Sans MS" pitchFamily="66" charset="0"/>
                              <a:ea typeface="+mn-ea"/>
                              <a:cs typeface="Arial" charset="0"/>
                            </a:defRPr>
                          </a:lvl9pPr>
                        </a:lstStyle>
                        <a:p>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1000" b="0" i="0" u="none" strike="noStrike" kern="1200" cap="none" spc="0" normalizeH="0" baseline="0" noProof="0" dirty="0" smtClean="0">
                              <a:ln>
                                <a:noFill/>
                              </a:ln>
                              <a:solidFill>
                                <a:prstClr val="black"/>
                              </a:solidFill>
                              <a:effectLst/>
                              <a:uLnTx/>
                              <a:uFillTx/>
                              <a:latin typeface="Calibri"/>
                              <a:ea typeface="+mn-ea"/>
                              <a:cs typeface="+mn-cs"/>
                            </a:rPr>
                            <a:t>- Start T4</a:t>
                          </a:r>
                          <a:r>
                            <a:rPr kumimoji="0" lang="en-GB" sz="1000" b="0" i="0" u="none" strike="noStrike" kern="1200" cap="none" spc="0" normalizeH="0" noProof="0" dirty="0" smtClean="0">
                              <a:ln>
                                <a:noFill/>
                              </a:ln>
                              <a:solidFill>
                                <a:prstClr val="black"/>
                              </a:solidFill>
                              <a:effectLst/>
                              <a:uLnTx/>
                              <a:uFillTx/>
                              <a:latin typeface="Calibri"/>
                              <a:ea typeface="+mn-ea"/>
                              <a:cs typeface="+mn-cs"/>
                            </a:rPr>
                            <a:t> </a:t>
                          </a:r>
                          <a:r>
                            <a:rPr kumimoji="0" lang="en-GB" sz="1000" b="0" i="0" u="none" strike="noStrike" kern="1200" cap="none" spc="0" normalizeH="0" baseline="0" noProof="0" dirty="0" smtClean="0">
                              <a:ln>
                                <a:noFill/>
                              </a:ln>
                              <a:solidFill>
                                <a:prstClr val="black"/>
                              </a:solidFill>
                              <a:effectLst/>
                              <a:uLnTx/>
                              <a:uFillTx/>
                              <a:latin typeface="Calibri"/>
                              <a:ea typeface="+mn-ea"/>
                              <a:cs typeface="+mn-cs"/>
                            </a:rPr>
                            <a:t>therapy</a:t>
                          </a:r>
                          <a:endParaRPr kumimoji="0" lang="en-GB" sz="1000" b="0" i="0" u="none" strike="noStrike" kern="1200" cap="none" spc="0" normalizeH="0" baseline="0" noProof="0" dirty="0">
                            <a:ln>
                              <a:noFill/>
                            </a:ln>
                            <a:solidFill>
                              <a:prstClr val="black"/>
                            </a:solidFill>
                            <a:effectLst/>
                            <a:uLnTx/>
                            <a:uFillTx/>
                            <a:latin typeface="Calibri"/>
                            <a:ea typeface="+mn-ea"/>
                            <a:cs typeface="+mn-cs"/>
                          </a:endParaRPr>
                        </a:p>
                      </a:txBody>
                      <a:useSpRect/>
                    </a:txSp>
                  </a:sp>
                  <a:cxnSp>
                    <a:nvCxnSpPr>
                      <a:cNvPr id="59" name="Straight Arrow Connector 58">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234A0293-19AF-40FD-A98C-2C4DCA07EAA2}"/>
                          </a:ext>
                        </a:extLst>
                      </a:cNvPr>
                      <a:cNvCxnSpPr/>
                    </a:nvCxnSpPr>
                    <a:spPr>
                      <a:xfrm flipH="1">
                        <a:off x="4644008" y="3429000"/>
                        <a:ext cx="2" cy="1872208"/>
                      </a:xfrm>
                      <a:prstGeom prst="straightConnector1">
                        <a:avLst/>
                      </a:prstGeom>
                      <a:ln>
                        <a:headEnd type="none" w="med" len="med"/>
                        <a:tailEnd type="arrow" w="med" len="med"/>
                      </a:ln>
                    </a:spPr>
                    <a:style>
                      <a:lnRef idx="1">
                        <a:schemeClr val="accent1"/>
                      </a:lnRef>
                      <a:fillRef idx="0">
                        <a:schemeClr val="accent1"/>
                      </a:fillRef>
                      <a:effectRef idx="0">
                        <a:schemeClr val="accent1"/>
                      </a:effectRef>
                      <a:fontRef idx="minor">
                        <a:schemeClr val="tx1"/>
                      </a:fontRef>
                    </a:style>
                  </a:cxnSp>
                  <a:cxnSp>
                    <a:nvCxnSpPr>
                      <a:cNvPr id="62" name="Straight Arrow Connector 61">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ED2A0DC5-0EDD-4EE0-A7AB-1FBD4BC04E9D}"/>
                          </a:ext>
                        </a:extLst>
                      </a:cNvPr>
                      <a:cNvCxnSpPr>
                        <a:cxnSpLocks/>
                      </a:cNvCxnSpPr>
                    </a:nvCxnSpPr>
                    <a:spPr>
                      <a:xfrm>
                        <a:off x="5508104" y="3789040"/>
                        <a:ext cx="0" cy="360040"/>
                      </a:xfrm>
                      <a:prstGeom prst="straightConnector1">
                        <a:avLst/>
                      </a:prstGeom>
                      <a:ln>
                        <a:headEnd type="none" w="med" len="med"/>
                        <a:tailEnd type="arrow" w="med" len="med"/>
                      </a:ln>
                    </a:spPr>
                    <a:style>
                      <a:lnRef idx="1">
                        <a:schemeClr val="accent1"/>
                      </a:lnRef>
                      <a:fillRef idx="0">
                        <a:schemeClr val="accent1"/>
                      </a:fillRef>
                      <a:effectRef idx="0">
                        <a:schemeClr val="accent1"/>
                      </a:effectRef>
                      <a:fontRef idx="minor">
                        <a:schemeClr val="tx1"/>
                      </a:fontRef>
                    </a:style>
                  </a:cxnSp>
                  <a:cxnSp>
                    <a:nvCxnSpPr>
                      <a:cNvPr id="64" name="Straight Connector 63">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F7D6EEA2-9E5B-4BFF-A798-3CFC9617B8E3}"/>
                          </a:ext>
                        </a:extLst>
                      </a:cNvPr>
                      <a:cNvCxnSpPr/>
                    </a:nvCxnSpPr>
                    <a:spPr>
                      <a:xfrm>
                        <a:off x="755576" y="3717032"/>
                        <a:ext cx="172819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5" name="Straight Arrow Connector 64">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ED2A0DC5-0EDD-4EE0-A7AB-1FBD4BC04E9D}"/>
                          </a:ext>
                        </a:extLst>
                      </a:cNvPr>
                      <a:cNvCxnSpPr>
                        <a:cxnSpLocks/>
                      </a:cNvCxnSpPr>
                    </a:nvCxnSpPr>
                    <a:spPr>
                      <a:xfrm>
                        <a:off x="755576" y="3717032"/>
                        <a:ext cx="0" cy="360040"/>
                      </a:xfrm>
                      <a:prstGeom prst="straightConnector1">
                        <a:avLst/>
                      </a:prstGeom>
                      <a:ln>
                        <a:headEnd type="none" w="med" len="med"/>
                        <a:tailEnd type="arrow" w="med" len="med"/>
                      </a:ln>
                    </a:spPr>
                    <a:style>
                      <a:lnRef idx="1">
                        <a:schemeClr val="accent1"/>
                      </a:lnRef>
                      <a:fillRef idx="0">
                        <a:schemeClr val="accent1"/>
                      </a:fillRef>
                      <a:effectRef idx="0">
                        <a:schemeClr val="accent1"/>
                      </a:effectRef>
                      <a:fontRef idx="minor">
                        <a:schemeClr val="tx1"/>
                      </a:fontRef>
                    </a:style>
                  </a:cxnSp>
                  <a:cxnSp>
                    <a:nvCxnSpPr>
                      <a:cNvPr id="67" name="Straight Arrow Connector 66">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ED2A0DC5-0EDD-4EE0-A7AB-1FBD4BC04E9D}"/>
                          </a:ext>
                        </a:extLst>
                      </a:cNvPr>
                      <a:cNvCxnSpPr>
                        <a:cxnSpLocks/>
                      </a:cNvCxnSpPr>
                    </a:nvCxnSpPr>
                    <a:spPr>
                      <a:xfrm>
                        <a:off x="2483768" y="3717032"/>
                        <a:ext cx="0" cy="360040"/>
                      </a:xfrm>
                      <a:prstGeom prst="straightConnector1">
                        <a:avLst/>
                      </a:prstGeom>
                      <a:ln>
                        <a:headEnd type="none" w="med" len="med"/>
                        <a:tailEnd type="arrow" w="med" len="med"/>
                      </a:ln>
                    </a:spPr>
                    <a:style>
                      <a:lnRef idx="1">
                        <a:schemeClr val="accent1"/>
                      </a:lnRef>
                      <a:fillRef idx="0">
                        <a:schemeClr val="accent1"/>
                      </a:fillRef>
                      <a:effectRef idx="0">
                        <a:schemeClr val="accent1"/>
                      </a:effectRef>
                      <a:fontRef idx="minor">
                        <a:schemeClr val="tx1"/>
                      </a:fontRef>
                    </a:style>
                  </a:cxnSp>
                  <a:cxnSp>
                    <a:nvCxnSpPr>
                      <a:cNvPr id="77" name="Straight Arrow Connector 76">
                        <a:extLst>
                          <a:ext uri="{FF2B5EF4-FFF2-40B4-BE49-F238E27FC236}">
                            <a16:creationId xmlns="" xmlns:p="http://schemas.openxmlformats.org/presentationml/2006/main" xmlns:a16="http://schemas.microsoft.com/office/drawing/2014/main" xmlns:w="http://schemas.openxmlformats.org/wordprocessingml/2006/main" xmlns:w10="urn:schemas-microsoft-com:office:word" xmlns:v="urn:schemas-microsoft-com:vml" xmlns:o="urn:schemas-microsoft-com:office:office" id="{234A0293-19AF-40FD-A98C-2C4DCA07EAA2}"/>
                          </a:ext>
                        </a:extLst>
                      </a:cNvPr>
                      <a:cNvCxnSpPr/>
                    </a:nvCxnSpPr>
                    <a:spPr>
                      <a:xfrm flipH="1">
                        <a:off x="1691680" y="3429000"/>
                        <a:ext cx="2" cy="1872208"/>
                      </a:xfrm>
                      <a:prstGeom prst="straightConnector1">
                        <a:avLst/>
                      </a:prstGeom>
                      <a:ln>
                        <a:headEnd type="none" w="med" len="med"/>
                        <a:tailEnd type="arrow" w="med" len="med"/>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A56CDD" w:rsidRDefault="00A56CDD">
      <w:pPr>
        <w:pStyle w:val="Heading6"/>
        <w:rPr>
          <w:vanish w:val="0"/>
          <w:sz w:val="28"/>
        </w:rPr>
      </w:pPr>
      <w:bookmarkStart w:id="1" w:name="_GoBack"/>
      <w:bookmarkEnd w:id="1"/>
      <w:r>
        <w:rPr>
          <w:vanish w:val="0"/>
          <w:sz w:val="28"/>
        </w:rPr>
        <w:lastRenderedPageBreak/>
        <w:t>Hyperthyroidism and Pregnancy</w:t>
      </w:r>
    </w:p>
    <w:p w:rsidR="00A56CDD" w:rsidRDefault="00A56CDD" w:rsidP="006060EF">
      <w:pPr>
        <w:jc w:val="both"/>
        <w:rPr>
          <w:sz w:val="22"/>
        </w:rPr>
      </w:pPr>
      <w:r>
        <w:rPr>
          <w:sz w:val="22"/>
        </w:rPr>
        <w:t>Patients being treated with anti-thy</w:t>
      </w:r>
      <w:r w:rsidR="00A4117E">
        <w:rPr>
          <w:sz w:val="22"/>
        </w:rPr>
        <w:t>r</w:t>
      </w:r>
      <w:r>
        <w:rPr>
          <w:sz w:val="22"/>
        </w:rPr>
        <w:t>oid drugs require careful monitoring during pregnancy as these drugs cross the placenta and interact with the f</w:t>
      </w:r>
      <w:r w:rsidR="00224B40">
        <w:rPr>
          <w:sz w:val="22"/>
        </w:rPr>
        <w:t>o</w:t>
      </w:r>
      <w:r>
        <w:rPr>
          <w:sz w:val="22"/>
        </w:rPr>
        <w:t xml:space="preserve">etal thyroid. Similarly, TSH receptor antibodies (TRAbs) in maternal blood also cross the placenta and may give rise to intrauterine and neonatal thyrotoxicosis if present in high concentration. For these reasons it is essential to identify new cases of </w:t>
      </w:r>
      <w:r w:rsidR="00431DA5">
        <w:rPr>
          <w:sz w:val="22"/>
        </w:rPr>
        <w:t>Graves</w:t>
      </w:r>
      <w:r>
        <w:rPr>
          <w:sz w:val="22"/>
        </w:rPr>
        <w:t xml:space="preserve">’ disease in pregnancy and also to assess TRAb status in patients with previous </w:t>
      </w:r>
      <w:r w:rsidR="00431DA5">
        <w:rPr>
          <w:sz w:val="22"/>
        </w:rPr>
        <w:t>Graves’</w:t>
      </w:r>
      <w:r>
        <w:rPr>
          <w:sz w:val="22"/>
        </w:rPr>
        <w:t xml:space="preserve"> Disease who may be hypothyroid or euthyroid due to therapy with radioiodine, surgery or anti-thyroid drugs</w:t>
      </w:r>
      <w:r w:rsidR="00A4117E">
        <w:rPr>
          <w:sz w:val="22"/>
        </w:rPr>
        <w:t>.</w:t>
      </w:r>
    </w:p>
    <w:p w:rsidR="006060EF" w:rsidRDefault="006060EF" w:rsidP="006060EF">
      <w:pPr>
        <w:jc w:val="both"/>
        <w:rPr>
          <w:sz w:val="22"/>
        </w:rPr>
      </w:pPr>
    </w:p>
    <w:p w:rsidR="006060EF" w:rsidRDefault="006060EF" w:rsidP="006060EF">
      <w:pPr>
        <w:jc w:val="both"/>
        <w:rPr>
          <w:sz w:val="22"/>
        </w:rPr>
      </w:pPr>
      <w:r>
        <w:rPr>
          <w:sz w:val="22"/>
        </w:rPr>
        <w:t xml:space="preserve">hCG shares a common subunit with TSH and therefore has thyrotropic activity.  TSH is therefore often suppressed in early pregnancy and up to 60% pregnancies complicated by hyperemesis are associated with a biochemical picture of hyperthyroidism.  Urgent admission should be arranged if a woman has symptoms and signs of severe hyperthyroidism or intractable vomiting. Women with biochemical thyrotoxicosis must have TRAbs measured to exclude </w:t>
      </w:r>
      <w:r w:rsidR="00431DA5">
        <w:rPr>
          <w:sz w:val="22"/>
        </w:rPr>
        <w:t>Graves’</w:t>
      </w:r>
      <w:r>
        <w:rPr>
          <w:sz w:val="22"/>
        </w:rPr>
        <w:t xml:space="preserve"> disease.</w:t>
      </w:r>
    </w:p>
    <w:p w:rsidR="00A56CDD" w:rsidRDefault="00A56CDD"/>
    <w:p w:rsidR="00EB4B88" w:rsidRDefault="00431DA5" w:rsidP="00EB4B88">
      <w:pPr>
        <w:rPr>
          <w:sz w:val="22"/>
        </w:rPr>
      </w:pPr>
      <w:r>
        <w:rPr>
          <w:sz w:val="22"/>
        </w:rPr>
        <w:t>ALL PATIENTS WITH HYPERTHROIDISM IN PREGNANCY SHOULD BE REFERRED AND THOSE WITH A PAST HISTORY, DISCUSSED WITH A SPECIALIST. PLEASE SEE REFERRAL GUIDELINES AND NOTE:</w:t>
      </w:r>
    </w:p>
    <w:p w:rsidR="00431DA5" w:rsidRDefault="00431DA5" w:rsidP="00431DA5">
      <w:pPr>
        <w:numPr>
          <w:ilvl w:val="0"/>
          <w:numId w:val="23"/>
        </w:numPr>
        <w:rPr>
          <w:sz w:val="22"/>
        </w:rPr>
      </w:pPr>
      <w:r>
        <w:rPr>
          <w:sz w:val="22"/>
        </w:rPr>
        <w:t>Home and Birthing Centre deliveries are not appropriate for women with Hyperthyroidism</w:t>
      </w:r>
    </w:p>
    <w:p w:rsidR="00431DA5" w:rsidRDefault="00431DA5" w:rsidP="00431DA5">
      <w:pPr>
        <w:numPr>
          <w:ilvl w:val="0"/>
          <w:numId w:val="23"/>
        </w:numPr>
        <w:rPr>
          <w:sz w:val="22"/>
        </w:rPr>
      </w:pPr>
      <w:r>
        <w:rPr>
          <w:sz w:val="22"/>
        </w:rPr>
        <w:t>All women with a past history of hyperthyroidism who are now euthyroid should be discussed/referred to an obstetrician.  All women with hyperthyroidism will have serial growth scans.</w:t>
      </w:r>
    </w:p>
    <w:p w:rsidR="00431DA5" w:rsidRDefault="00431DA5" w:rsidP="00431DA5">
      <w:pPr>
        <w:numPr>
          <w:ilvl w:val="0"/>
          <w:numId w:val="23"/>
        </w:numPr>
        <w:rPr>
          <w:sz w:val="22"/>
        </w:rPr>
      </w:pPr>
      <w:r w:rsidRPr="00431DA5">
        <w:rPr>
          <w:sz w:val="22"/>
        </w:rPr>
        <w:t>All women with a past or current history of hyperthyroidism who are planning pregnancy should have thyroid function checked before conception and be referred for specialist advice</w:t>
      </w:r>
    </w:p>
    <w:p w:rsidR="00431DA5" w:rsidRPr="00431DA5" w:rsidRDefault="00431DA5" w:rsidP="00431DA5">
      <w:pPr>
        <w:numPr>
          <w:ilvl w:val="0"/>
          <w:numId w:val="23"/>
        </w:numPr>
        <w:rPr>
          <w:sz w:val="22"/>
        </w:rPr>
      </w:pPr>
      <w:r w:rsidRPr="00431DA5">
        <w:rPr>
          <w:bCs/>
          <w:sz w:val="22"/>
        </w:rPr>
        <w:t xml:space="preserve">Any patient with active </w:t>
      </w:r>
      <w:r>
        <w:rPr>
          <w:bCs/>
          <w:sz w:val="22"/>
        </w:rPr>
        <w:t>Graves’</w:t>
      </w:r>
      <w:r w:rsidRPr="00431DA5">
        <w:rPr>
          <w:bCs/>
          <w:sz w:val="22"/>
        </w:rPr>
        <w:t xml:space="preserve"> Disease must have TSH-receptor antibody (TRAbs) measurement carried out at first visit to community midwife (or pre-conception) irrespective of their thyroid function test profile. If TRAbs are undetectable, they do not need to be repeated</w:t>
      </w:r>
    </w:p>
    <w:p w:rsidR="00431DA5" w:rsidRDefault="00431DA5" w:rsidP="00EB4B88">
      <w:pPr>
        <w:rPr>
          <w:sz w:val="22"/>
        </w:rPr>
      </w:pPr>
    </w:p>
    <w:p w:rsidR="00A56CDD" w:rsidRPr="006E2551" w:rsidRDefault="00A56CDD">
      <w:pPr>
        <w:pStyle w:val="Heading6"/>
        <w:rPr>
          <w:vanish w:val="0"/>
        </w:rPr>
      </w:pPr>
      <w:r w:rsidRPr="006E2551">
        <w:rPr>
          <w:vanish w:val="0"/>
        </w:rPr>
        <w:t>Significance of an “Undetectable” TSH in Pregnancy</w:t>
      </w:r>
    </w:p>
    <w:p w:rsidR="00A56CDD" w:rsidRDefault="00A56CDD">
      <w:pPr>
        <w:pStyle w:val="Heading1"/>
        <w:rPr>
          <w:b w:val="0"/>
          <w:bCs w:val="0"/>
          <w:color w:val="000000"/>
          <w:sz w:val="22"/>
          <w:szCs w:val="12"/>
        </w:rPr>
      </w:pPr>
      <w:r>
        <w:rPr>
          <w:b w:val="0"/>
          <w:bCs w:val="0"/>
          <w:color w:val="000000"/>
          <w:sz w:val="22"/>
          <w:szCs w:val="12"/>
        </w:rPr>
        <w:t xml:space="preserve">Some </w:t>
      </w:r>
      <w:r w:rsidR="00841C28">
        <w:rPr>
          <w:b w:val="0"/>
          <w:bCs w:val="0"/>
          <w:color w:val="000000"/>
          <w:sz w:val="22"/>
          <w:szCs w:val="12"/>
        </w:rPr>
        <w:t>‘</w:t>
      </w:r>
      <w:r>
        <w:rPr>
          <w:b w:val="0"/>
          <w:bCs w:val="0"/>
          <w:color w:val="000000"/>
          <w:sz w:val="22"/>
          <w:szCs w:val="12"/>
        </w:rPr>
        <w:t>normal</w:t>
      </w:r>
      <w:r w:rsidR="00841C28">
        <w:rPr>
          <w:b w:val="0"/>
          <w:bCs w:val="0"/>
          <w:color w:val="000000"/>
          <w:sz w:val="22"/>
          <w:szCs w:val="12"/>
        </w:rPr>
        <w:t>’</w:t>
      </w:r>
      <w:r>
        <w:rPr>
          <w:b w:val="0"/>
          <w:bCs w:val="0"/>
          <w:color w:val="000000"/>
          <w:sz w:val="22"/>
          <w:szCs w:val="12"/>
        </w:rPr>
        <w:t xml:space="preserve"> pregnancies are associated with a mild transient </w:t>
      </w:r>
      <w:r w:rsidR="00841C28">
        <w:rPr>
          <w:b w:val="0"/>
          <w:bCs w:val="0"/>
          <w:color w:val="000000"/>
          <w:sz w:val="22"/>
          <w:szCs w:val="12"/>
        </w:rPr>
        <w:t>‘</w:t>
      </w:r>
      <w:r>
        <w:rPr>
          <w:b w:val="0"/>
          <w:bCs w:val="0"/>
          <w:color w:val="000000"/>
          <w:sz w:val="22"/>
          <w:szCs w:val="12"/>
        </w:rPr>
        <w:t>physiological</w:t>
      </w:r>
      <w:r w:rsidR="00841C28">
        <w:rPr>
          <w:b w:val="0"/>
          <w:bCs w:val="0"/>
          <w:color w:val="000000"/>
          <w:sz w:val="22"/>
          <w:szCs w:val="12"/>
        </w:rPr>
        <w:t>’</w:t>
      </w:r>
      <w:r>
        <w:rPr>
          <w:b w:val="0"/>
          <w:bCs w:val="0"/>
          <w:color w:val="000000"/>
          <w:sz w:val="22"/>
          <w:szCs w:val="12"/>
        </w:rPr>
        <w:t xml:space="preserve"> hyperthyroidism during the first trimester. This is caused by very high levels of hCG, </w:t>
      </w:r>
      <w:r w:rsidR="00B52D1B">
        <w:rPr>
          <w:b w:val="0"/>
          <w:bCs w:val="0"/>
          <w:color w:val="000000"/>
          <w:sz w:val="22"/>
          <w:szCs w:val="12"/>
        </w:rPr>
        <w:t>which has</w:t>
      </w:r>
      <w:r>
        <w:rPr>
          <w:b w:val="0"/>
          <w:bCs w:val="0"/>
          <w:color w:val="000000"/>
          <w:sz w:val="22"/>
          <w:szCs w:val="12"/>
        </w:rPr>
        <w:t xml:space="preserve"> a mild stimulatory effect on the thyroid. In approximately 3% of pregnancies the TSH will be suppressed to &lt;0.01mU/L and FT4/FT3 may be slightly elevated. It is essential to exclude </w:t>
      </w:r>
      <w:r w:rsidR="00431DA5">
        <w:rPr>
          <w:b w:val="0"/>
          <w:bCs w:val="0"/>
          <w:color w:val="000000"/>
          <w:sz w:val="22"/>
          <w:szCs w:val="12"/>
        </w:rPr>
        <w:t>Graves’</w:t>
      </w:r>
      <w:r>
        <w:rPr>
          <w:b w:val="0"/>
          <w:bCs w:val="0"/>
          <w:color w:val="000000"/>
          <w:sz w:val="22"/>
          <w:szCs w:val="12"/>
        </w:rPr>
        <w:t xml:space="preserve"> disease in such pregnancies</w:t>
      </w:r>
      <w:r w:rsidR="00B52D1B">
        <w:rPr>
          <w:b w:val="0"/>
          <w:bCs w:val="0"/>
          <w:color w:val="000000"/>
          <w:sz w:val="22"/>
          <w:szCs w:val="12"/>
        </w:rPr>
        <w:t>;</w:t>
      </w:r>
      <w:r>
        <w:rPr>
          <w:b w:val="0"/>
          <w:bCs w:val="0"/>
          <w:color w:val="000000"/>
          <w:sz w:val="22"/>
          <w:szCs w:val="12"/>
        </w:rPr>
        <w:t xml:space="preserve"> TRAbs</w:t>
      </w:r>
      <w:r w:rsidR="00E554DD">
        <w:rPr>
          <w:b w:val="0"/>
          <w:bCs w:val="0"/>
          <w:color w:val="000000"/>
          <w:sz w:val="22"/>
          <w:szCs w:val="12"/>
        </w:rPr>
        <w:t xml:space="preserve"> should</w:t>
      </w:r>
      <w:r w:rsidR="00B52D1B">
        <w:rPr>
          <w:b w:val="0"/>
          <w:bCs w:val="0"/>
          <w:color w:val="000000"/>
          <w:sz w:val="22"/>
          <w:szCs w:val="12"/>
        </w:rPr>
        <w:t xml:space="preserve"> be</w:t>
      </w:r>
      <w:r w:rsidR="00E554DD">
        <w:rPr>
          <w:b w:val="0"/>
          <w:bCs w:val="0"/>
          <w:color w:val="000000"/>
          <w:sz w:val="22"/>
          <w:szCs w:val="12"/>
        </w:rPr>
        <w:t xml:space="preserve"> </w:t>
      </w:r>
      <w:r>
        <w:rPr>
          <w:b w:val="0"/>
          <w:bCs w:val="0"/>
          <w:color w:val="000000"/>
          <w:sz w:val="22"/>
          <w:szCs w:val="12"/>
        </w:rPr>
        <w:t>measured and an endocrine and/or obstetric opinion sought.</w:t>
      </w:r>
    </w:p>
    <w:p w:rsidR="00A56CDD" w:rsidRDefault="00A56CDD">
      <w:pPr>
        <w:rPr>
          <w:b/>
          <w:bCs/>
          <w:sz w:val="22"/>
          <w:szCs w:val="12"/>
        </w:rPr>
      </w:pPr>
    </w:p>
    <w:p w:rsidR="00A56CDD" w:rsidRDefault="00A56CDD">
      <w:pPr>
        <w:pStyle w:val="Heading2"/>
        <w:rPr>
          <w:sz w:val="28"/>
        </w:rPr>
      </w:pPr>
      <w:r>
        <w:rPr>
          <w:sz w:val="28"/>
        </w:rPr>
        <w:t>Post- Partum Thyroiditis</w:t>
      </w:r>
    </w:p>
    <w:p w:rsidR="00A56CDD" w:rsidRPr="006E2551" w:rsidRDefault="00A56CDD" w:rsidP="00F0161B">
      <w:pPr>
        <w:pStyle w:val="BodyText"/>
        <w:jc w:val="both"/>
        <w:rPr>
          <w:color w:val="auto"/>
          <w:sz w:val="22"/>
          <w:szCs w:val="24"/>
        </w:rPr>
      </w:pPr>
      <w:r>
        <w:rPr>
          <w:sz w:val="22"/>
          <w:szCs w:val="24"/>
        </w:rPr>
        <w:t xml:space="preserve">This </w:t>
      </w:r>
      <w:r w:rsidR="00E362AB">
        <w:rPr>
          <w:sz w:val="22"/>
          <w:szCs w:val="24"/>
        </w:rPr>
        <w:t xml:space="preserve">is a destructive autoimmune thyroiditis causing release of pre-formed thyroid hormone and then hypothyroidism as the reserve is depleted. It </w:t>
      </w:r>
      <w:r>
        <w:rPr>
          <w:sz w:val="22"/>
          <w:szCs w:val="24"/>
        </w:rPr>
        <w:t>occurs in 5% of women within 2-6 months of delivery or miscarriage. It presents with non-specific symptoms such as tiredness, anxiety and depression. Typically the patient will</w:t>
      </w:r>
      <w:r w:rsidR="00E554DD">
        <w:rPr>
          <w:sz w:val="22"/>
          <w:szCs w:val="24"/>
        </w:rPr>
        <w:t xml:space="preserve"> demonstrate</w:t>
      </w:r>
      <w:r>
        <w:rPr>
          <w:sz w:val="22"/>
          <w:szCs w:val="24"/>
        </w:rPr>
        <w:t xml:space="preserve"> a hyperthyroid hormone profile, which will resolve or be followed by transient </w:t>
      </w:r>
      <w:r w:rsidRPr="006E2551">
        <w:rPr>
          <w:color w:val="auto"/>
          <w:sz w:val="22"/>
          <w:szCs w:val="24"/>
        </w:rPr>
        <w:t xml:space="preserve">hypothyroidism. </w:t>
      </w:r>
      <w:r w:rsidRPr="006E2551">
        <w:rPr>
          <w:color w:val="auto"/>
          <w:sz w:val="22"/>
          <w:szCs w:val="17"/>
        </w:rPr>
        <w:t>Occasionally, thyroid function may not return to normal after postpartum thyroiditis. Persistent hypothyroidism may require treatment with thyroid hormone</w:t>
      </w:r>
    </w:p>
    <w:p w:rsidR="00A56CDD" w:rsidRDefault="00A56CDD" w:rsidP="00F0161B">
      <w:pPr>
        <w:numPr>
          <w:ilvl w:val="0"/>
          <w:numId w:val="18"/>
        </w:numPr>
        <w:jc w:val="both"/>
        <w:rPr>
          <w:color w:val="000000"/>
          <w:sz w:val="22"/>
        </w:rPr>
      </w:pPr>
      <w:r>
        <w:rPr>
          <w:color w:val="000000"/>
          <w:sz w:val="22"/>
        </w:rPr>
        <w:t xml:space="preserve">If a hyperthyroid profile is found (TSH &lt;0.01 mU/L; FT4/FT3 raised) an endocrine opinion is warranted to differentiate post-partum thyroiditis from other causes of hyperthyroidism such as </w:t>
      </w:r>
      <w:r w:rsidR="00431DA5">
        <w:rPr>
          <w:color w:val="000000"/>
          <w:sz w:val="22"/>
        </w:rPr>
        <w:t>Graves’</w:t>
      </w:r>
      <w:r>
        <w:rPr>
          <w:color w:val="000000"/>
          <w:sz w:val="22"/>
        </w:rPr>
        <w:t xml:space="preserve"> disease. </w:t>
      </w:r>
      <w:r w:rsidR="00E80391">
        <w:rPr>
          <w:color w:val="000000"/>
          <w:sz w:val="22"/>
        </w:rPr>
        <w:t xml:space="preserve">Measurement of </w:t>
      </w:r>
      <w:r>
        <w:rPr>
          <w:color w:val="000000"/>
          <w:sz w:val="22"/>
        </w:rPr>
        <w:t>TRAbs will be helpful</w:t>
      </w:r>
      <w:r w:rsidR="00E362AB">
        <w:rPr>
          <w:color w:val="000000"/>
          <w:sz w:val="22"/>
        </w:rPr>
        <w:t xml:space="preserve"> (negative in thyroiditis)</w:t>
      </w:r>
      <w:r>
        <w:rPr>
          <w:color w:val="000000"/>
          <w:sz w:val="22"/>
        </w:rPr>
        <w:t>.</w:t>
      </w:r>
    </w:p>
    <w:p w:rsidR="00A56CDD" w:rsidRDefault="00A56CDD">
      <w:pPr>
        <w:pStyle w:val="BodyText3"/>
        <w:rPr>
          <w:b w:val="0"/>
          <w:bCs w:val="0"/>
          <w:sz w:val="22"/>
        </w:rPr>
      </w:pPr>
    </w:p>
    <w:p w:rsidR="00A56CDD" w:rsidRDefault="00A56CDD">
      <w:pPr>
        <w:pStyle w:val="BodyText3"/>
        <w:rPr>
          <w:b w:val="0"/>
          <w:bCs w:val="0"/>
          <w:sz w:val="22"/>
        </w:rPr>
      </w:pPr>
      <w:r>
        <w:rPr>
          <w:b w:val="0"/>
          <w:bCs w:val="0"/>
          <w:sz w:val="22"/>
        </w:rPr>
        <w:t>Post-partum patients should have thyroid function tests checke</w:t>
      </w:r>
      <w:r w:rsidR="00F32052">
        <w:rPr>
          <w:b w:val="0"/>
          <w:bCs w:val="0"/>
          <w:sz w:val="22"/>
        </w:rPr>
        <w:t>d at 8 - 12 weeks if they have:</w:t>
      </w:r>
    </w:p>
    <w:p w:rsidR="00A56CDD" w:rsidRDefault="00A56CDD">
      <w:pPr>
        <w:numPr>
          <w:ilvl w:val="0"/>
          <w:numId w:val="17"/>
        </w:numPr>
        <w:rPr>
          <w:color w:val="000000"/>
          <w:sz w:val="22"/>
        </w:rPr>
      </w:pPr>
      <w:r>
        <w:rPr>
          <w:color w:val="000000"/>
          <w:sz w:val="22"/>
        </w:rPr>
        <w:t>Symptoms of hyper</w:t>
      </w:r>
      <w:r w:rsidR="00841C28">
        <w:rPr>
          <w:color w:val="000000"/>
          <w:sz w:val="22"/>
        </w:rPr>
        <w:t>-</w:t>
      </w:r>
      <w:r>
        <w:rPr>
          <w:color w:val="000000"/>
          <w:sz w:val="22"/>
        </w:rPr>
        <w:t xml:space="preserve"> or hypo</w:t>
      </w:r>
      <w:r w:rsidR="00841C28">
        <w:rPr>
          <w:color w:val="000000"/>
          <w:sz w:val="22"/>
        </w:rPr>
        <w:t>-</w:t>
      </w:r>
      <w:r>
        <w:rPr>
          <w:color w:val="000000"/>
          <w:sz w:val="22"/>
        </w:rPr>
        <w:t>thyroidism</w:t>
      </w:r>
    </w:p>
    <w:p w:rsidR="00A56CDD" w:rsidRDefault="00A56CDD">
      <w:pPr>
        <w:numPr>
          <w:ilvl w:val="0"/>
          <w:numId w:val="17"/>
        </w:numPr>
        <w:rPr>
          <w:color w:val="000000"/>
          <w:sz w:val="22"/>
        </w:rPr>
      </w:pPr>
      <w:r>
        <w:rPr>
          <w:color w:val="000000"/>
          <w:sz w:val="22"/>
        </w:rPr>
        <w:t>Goitre</w:t>
      </w:r>
    </w:p>
    <w:p w:rsidR="00A56CDD" w:rsidRPr="00F0161B" w:rsidRDefault="00A56CDD" w:rsidP="00F0161B">
      <w:pPr>
        <w:numPr>
          <w:ilvl w:val="0"/>
          <w:numId w:val="17"/>
        </w:numPr>
        <w:rPr>
          <w:color w:val="000000"/>
          <w:sz w:val="22"/>
        </w:rPr>
      </w:pPr>
      <w:r>
        <w:rPr>
          <w:color w:val="000000"/>
          <w:sz w:val="22"/>
        </w:rPr>
        <w:t>Previous history of post-partum thyroiditis</w:t>
      </w:r>
      <w:r w:rsidR="00F0161B">
        <w:rPr>
          <w:color w:val="000000"/>
          <w:sz w:val="22"/>
        </w:rPr>
        <w:t xml:space="preserve"> or </w:t>
      </w:r>
      <w:r w:rsidRPr="00F0161B">
        <w:rPr>
          <w:color w:val="000000"/>
          <w:sz w:val="22"/>
        </w:rPr>
        <w:t>autoimmune thyroid disease</w:t>
      </w:r>
    </w:p>
    <w:p w:rsidR="00A56CDD" w:rsidRDefault="00A56CDD">
      <w:pPr>
        <w:numPr>
          <w:ilvl w:val="0"/>
          <w:numId w:val="17"/>
        </w:numPr>
        <w:rPr>
          <w:color w:val="000000"/>
          <w:sz w:val="22"/>
        </w:rPr>
      </w:pPr>
      <w:r>
        <w:rPr>
          <w:color w:val="000000"/>
          <w:sz w:val="22"/>
        </w:rPr>
        <w:t>Positive TPO</w:t>
      </w:r>
      <w:r w:rsidR="006E2551">
        <w:rPr>
          <w:color w:val="000000"/>
          <w:sz w:val="22"/>
        </w:rPr>
        <w:t xml:space="preserve"> </w:t>
      </w:r>
      <w:r>
        <w:rPr>
          <w:color w:val="000000"/>
          <w:sz w:val="22"/>
        </w:rPr>
        <w:t>Ab</w:t>
      </w:r>
    </w:p>
    <w:p w:rsidR="00E80391" w:rsidRDefault="00E80391">
      <w:pPr>
        <w:rPr>
          <w:b/>
          <w:sz w:val="20"/>
        </w:rPr>
      </w:pPr>
    </w:p>
    <w:p w:rsidR="00E362AB" w:rsidRPr="00F0161B" w:rsidRDefault="00E362AB">
      <w:pPr>
        <w:rPr>
          <w:sz w:val="22"/>
        </w:rPr>
      </w:pPr>
      <w:r w:rsidRPr="00F0161B">
        <w:rPr>
          <w:sz w:val="22"/>
        </w:rPr>
        <w:t>Women with post-partum thyroiditis should be referred to endocrinology</w:t>
      </w:r>
      <w:r w:rsidR="00841C28">
        <w:rPr>
          <w:sz w:val="22"/>
        </w:rPr>
        <w:t>.</w:t>
      </w:r>
    </w:p>
    <w:p w:rsidR="00E80391" w:rsidRDefault="00E80391">
      <w:pPr>
        <w:rPr>
          <w:b/>
          <w:sz w:val="20"/>
        </w:rPr>
      </w:pPr>
    </w:p>
    <w:p w:rsidR="00346B59" w:rsidRDefault="00346B59">
      <w:pPr>
        <w:rPr>
          <w:b/>
          <w:sz w:val="20"/>
        </w:rPr>
      </w:pPr>
    </w:p>
    <w:p w:rsidR="00346B59" w:rsidRDefault="00346B59">
      <w:pPr>
        <w:rPr>
          <w:b/>
          <w:sz w:val="20"/>
        </w:rPr>
      </w:pPr>
    </w:p>
    <w:p w:rsidR="006E2551" w:rsidRDefault="00A56CDD">
      <w:pPr>
        <w:rPr>
          <w:b/>
          <w:sz w:val="20"/>
        </w:rPr>
      </w:pPr>
      <w:r>
        <w:rPr>
          <w:b/>
          <w:sz w:val="20"/>
        </w:rPr>
        <w:lastRenderedPageBreak/>
        <w:t xml:space="preserve">References </w:t>
      </w:r>
    </w:p>
    <w:p w:rsidR="00A56CDD" w:rsidRDefault="00A56CDD">
      <w:pPr>
        <w:rPr>
          <w:sz w:val="16"/>
        </w:rPr>
      </w:pPr>
      <w:r>
        <w:rPr>
          <w:sz w:val="16"/>
        </w:rPr>
        <w:t>1. Toft A. 2004 Increased levothyroxine requirements in pregnancy- Why, when and how much? NEJM;351(3): 292-3.</w:t>
      </w:r>
    </w:p>
    <w:p w:rsidR="00A56CDD" w:rsidRDefault="00A56CDD">
      <w:pPr>
        <w:rPr>
          <w:sz w:val="16"/>
        </w:rPr>
      </w:pPr>
      <w:r>
        <w:rPr>
          <w:sz w:val="16"/>
        </w:rPr>
        <w:t>2. Alexander EK, Marqusee E, Lawrence J et al. Timing and magnitude of increases in levothyroxine requirements during pregnancy in women with hypothyroidism. NEJM 2004; 351:241-9.</w:t>
      </w:r>
    </w:p>
    <w:p w:rsidR="00A56CDD" w:rsidRDefault="00A56CDD">
      <w:pPr>
        <w:rPr>
          <w:sz w:val="16"/>
        </w:rPr>
      </w:pPr>
      <w:r>
        <w:rPr>
          <w:sz w:val="16"/>
        </w:rPr>
        <w:t>3. Demer LM, Spencer CA. Laboratory medicine practice guidelines: laboratory support for the diagnosis and monitoring of thyroid disease. Clin Endocrinol 2003; 58:138-40.</w:t>
      </w:r>
    </w:p>
    <w:p w:rsidR="00A56CDD" w:rsidRDefault="00A56CDD">
      <w:pPr>
        <w:rPr>
          <w:sz w:val="16"/>
        </w:rPr>
      </w:pPr>
      <w:r>
        <w:rPr>
          <w:sz w:val="16"/>
        </w:rPr>
        <w:t>4. Pop VJ, Brouwers EP, Vader HL et al. Maternal hypothyroxinaemia during early pregnancy and subsequent child development: a 3-year follow-up study. Clin Endocrinol 2003;59 :282-8.</w:t>
      </w:r>
    </w:p>
    <w:p w:rsidR="00A56CDD" w:rsidRDefault="00A56CDD">
      <w:pPr>
        <w:rPr>
          <w:sz w:val="16"/>
        </w:rPr>
      </w:pPr>
      <w:r>
        <w:rPr>
          <w:sz w:val="16"/>
        </w:rPr>
        <w:t>5. Haddow JE, Palomaki GE, Allan WC et al.  Maternal thyroid deficiency during pregnancy and subsequent neuropsychological development of the child. NEJM 1999; 341: 549-55.</w:t>
      </w:r>
    </w:p>
    <w:p w:rsidR="00A56CDD" w:rsidRDefault="00A56CDD">
      <w:pPr>
        <w:rPr>
          <w:sz w:val="16"/>
        </w:rPr>
      </w:pPr>
      <w:r>
        <w:rPr>
          <w:sz w:val="16"/>
        </w:rPr>
        <w:t>6. Luton D, Le Gac I, Vuillard E et al. Management of Grave’s disease during pregnancy: the key role of foetal thyroid gland monitoring. J Clin Endocrinol and Metabolism 2005;90: 6093.</w:t>
      </w:r>
    </w:p>
    <w:p w:rsidR="00A56CDD" w:rsidRDefault="00A56CDD">
      <w:pPr>
        <w:rPr>
          <w:sz w:val="16"/>
        </w:rPr>
      </w:pPr>
      <w:r>
        <w:rPr>
          <w:sz w:val="16"/>
        </w:rPr>
        <w:t>7. Harborne LR, Alexander CE, Thomson AJ, O’Reilly DS, Greer IA. Outcomes of pregnancy complicated by thyroid disease. Aust NZ J Obstet Gynaecol 2005; 45(3): 239-242.</w:t>
      </w:r>
    </w:p>
    <w:p w:rsidR="00661693" w:rsidRDefault="00A56CDD">
      <w:pPr>
        <w:rPr>
          <w:color w:val="000000"/>
          <w:sz w:val="16"/>
        </w:rPr>
      </w:pPr>
      <w:r>
        <w:rPr>
          <w:sz w:val="16"/>
        </w:rPr>
        <w:t xml:space="preserve">8. </w:t>
      </w:r>
      <w:hyperlink r:id="rId8" w:tooltip="Click to search for citations by this author." w:history="1">
        <w:r>
          <w:rPr>
            <w:bCs/>
            <w:color w:val="000000"/>
            <w:sz w:val="16"/>
          </w:rPr>
          <w:t>Lao TT</w:t>
        </w:r>
      </w:hyperlink>
      <w:r>
        <w:rPr>
          <w:color w:val="000000"/>
          <w:sz w:val="16"/>
        </w:rPr>
        <w:t>.</w:t>
      </w:r>
      <w:r>
        <w:rPr>
          <w:bCs/>
          <w:color w:val="000000"/>
          <w:sz w:val="16"/>
        </w:rPr>
        <w:t xml:space="preserve"> Thyroid disorders in pregnancy.</w:t>
      </w:r>
      <w:r>
        <w:rPr>
          <w:color w:val="000000"/>
          <w:sz w:val="16"/>
        </w:rPr>
        <w:t xml:space="preserve"> </w:t>
      </w:r>
      <w:hyperlink r:id="rId9" w:history="1">
        <w:r>
          <w:rPr>
            <w:color w:val="000000"/>
            <w:sz w:val="16"/>
          </w:rPr>
          <w:t>Curr Opin Obstet Gynecol</w:t>
        </w:r>
      </w:hyperlink>
      <w:r>
        <w:rPr>
          <w:color w:val="000000"/>
          <w:sz w:val="16"/>
        </w:rPr>
        <w:t xml:space="preserve"> 2005;17(2):123-7.</w:t>
      </w:r>
    </w:p>
    <w:p w:rsidR="00126DB9" w:rsidRDefault="00661693" w:rsidP="00661693">
      <w:pPr>
        <w:autoSpaceDE w:val="0"/>
        <w:autoSpaceDN w:val="0"/>
        <w:adjustRightInd w:val="0"/>
        <w:rPr>
          <w:sz w:val="16"/>
          <w:szCs w:val="16"/>
          <w:lang w:eastAsia="en-GB"/>
        </w:rPr>
      </w:pPr>
      <w:r>
        <w:rPr>
          <w:color w:val="000000"/>
          <w:sz w:val="16"/>
        </w:rPr>
        <w:t xml:space="preserve">9. Alexander EK, Pearce EN, Brent GA, et al. </w:t>
      </w:r>
      <w:r w:rsidRPr="00661693">
        <w:rPr>
          <w:sz w:val="16"/>
          <w:szCs w:val="16"/>
          <w:lang w:eastAsia="en-GB"/>
        </w:rPr>
        <w:t>2017 Guidelines of t</w:t>
      </w:r>
      <w:r>
        <w:rPr>
          <w:sz w:val="16"/>
          <w:szCs w:val="16"/>
          <w:lang w:eastAsia="en-GB"/>
        </w:rPr>
        <w:t xml:space="preserve">he American Thyroid Association </w:t>
      </w:r>
      <w:r w:rsidRPr="00661693">
        <w:rPr>
          <w:sz w:val="16"/>
          <w:szCs w:val="16"/>
          <w:lang w:eastAsia="en-GB"/>
        </w:rPr>
        <w:t>for the Diagnosis an</w:t>
      </w:r>
      <w:r>
        <w:rPr>
          <w:sz w:val="16"/>
          <w:szCs w:val="16"/>
          <w:lang w:eastAsia="en-GB"/>
        </w:rPr>
        <w:t xml:space="preserve">d Management of Thyroid Disease </w:t>
      </w:r>
      <w:r w:rsidRPr="00661693">
        <w:rPr>
          <w:sz w:val="16"/>
          <w:szCs w:val="16"/>
          <w:lang w:eastAsia="en-GB"/>
        </w:rPr>
        <w:t>During Pregnancy and the Postpartum</w:t>
      </w:r>
      <w:r>
        <w:rPr>
          <w:sz w:val="16"/>
          <w:szCs w:val="16"/>
          <w:lang w:eastAsia="en-GB"/>
        </w:rPr>
        <w:t>. Thyroid: 27(3), 2017: 315-389.</w:t>
      </w:r>
    </w:p>
    <w:p w:rsidR="00A56CDD" w:rsidRPr="00661693" w:rsidRDefault="00126DB9" w:rsidP="00661693">
      <w:pPr>
        <w:autoSpaceDE w:val="0"/>
        <w:autoSpaceDN w:val="0"/>
        <w:adjustRightInd w:val="0"/>
        <w:rPr>
          <w:sz w:val="16"/>
          <w:szCs w:val="16"/>
          <w:lang w:eastAsia="en-GB"/>
        </w:rPr>
      </w:pPr>
      <w:r>
        <w:rPr>
          <w:sz w:val="16"/>
          <w:szCs w:val="16"/>
          <w:lang w:eastAsia="en-GB"/>
        </w:rPr>
        <w:t xml:space="preserve">10. </w:t>
      </w:r>
      <w:r w:rsidR="0084579C">
        <w:rPr>
          <w:sz w:val="16"/>
          <w:szCs w:val="16"/>
          <w:lang w:eastAsia="en-GB"/>
        </w:rPr>
        <w:t>Dhillon-Smith et al.  Levothyroxine in women with Thyroid Peroxidase antibodies before conception.  New England Journal of Medicine  2019; 380:1316-1325.</w:t>
      </w:r>
      <w:r w:rsidR="00A56CDD">
        <w:rPr>
          <w:color w:val="000000"/>
          <w:sz w:val="16"/>
        </w:rPr>
        <w:br/>
      </w:r>
    </w:p>
    <w:p w:rsidR="00EB63F5" w:rsidRDefault="00EB63F5">
      <w:pPr>
        <w:rPr>
          <w:b/>
          <w:bCs/>
          <w:sz w:val="20"/>
        </w:rPr>
      </w:pPr>
      <w:r>
        <w:rPr>
          <w:b/>
          <w:bCs/>
          <w:sz w:val="20"/>
        </w:rPr>
        <w:t>Original guideline by Dr G Beckett, Dr A Toft, Dr R Hughes &amp; Dr C Calderwood</w:t>
      </w:r>
    </w:p>
    <w:p w:rsidR="006E2551" w:rsidRDefault="006E2551">
      <w:pPr>
        <w:rPr>
          <w:b/>
          <w:bCs/>
          <w:sz w:val="20"/>
        </w:rPr>
      </w:pPr>
    </w:p>
    <w:p w:rsidR="00EB63F5" w:rsidRDefault="00455D51">
      <w:pPr>
        <w:rPr>
          <w:b/>
          <w:bCs/>
          <w:sz w:val="20"/>
        </w:rPr>
      </w:pPr>
      <w:r>
        <w:rPr>
          <w:b/>
          <w:bCs/>
          <w:sz w:val="20"/>
        </w:rPr>
        <w:t xml:space="preserve">Updated </w:t>
      </w:r>
      <w:r w:rsidR="00DB620D">
        <w:rPr>
          <w:b/>
          <w:bCs/>
          <w:sz w:val="20"/>
        </w:rPr>
        <w:t>June 2020</w:t>
      </w:r>
      <w:r w:rsidR="008142F0">
        <w:rPr>
          <w:b/>
          <w:bCs/>
          <w:sz w:val="20"/>
        </w:rPr>
        <w:t xml:space="preserve"> </w:t>
      </w:r>
      <w:r>
        <w:rPr>
          <w:b/>
          <w:bCs/>
          <w:sz w:val="20"/>
        </w:rPr>
        <w:t>(*incl reference ranges)</w:t>
      </w:r>
      <w:r w:rsidR="008142F0">
        <w:rPr>
          <w:b/>
          <w:bCs/>
          <w:sz w:val="20"/>
        </w:rPr>
        <w:t xml:space="preserve"> </w:t>
      </w:r>
      <w:r w:rsidR="00EB63F5">
        <w:rPr>
          <w:b/>
          <w:bCs/>
          <w:sz w:val="20"/>
        </w:rPr>
        <w:t xml:space="preserve">by: </w:t>
      </w:r>
    </w:p>
    <w:p w:rsidR="008142F0" w:rsidRDefault="008142F0">
      <w:pPr>
        <w:rPr>
          <w:b/>
          <w:bCs/>
          <w:sz w:val="20"/>
        </w:rPr>
      </w:pPr>
    </w:p>
    <w:tbl>
      <w:tblPr>
        <w:tblStyle w:val="TableGrid"/>
        <w:tblW w:w="0" w:type="auto"/>
        <w:tblLook w:val="04A0"/>
      </w:tblPr>
      <w:tblGrid>
        <w:gridCol w:w="5097"/>
        <w:gridCol w:w="5097"/>
      </w:tblGrid>
      <w:tr w:rsidR="008142F0" w:rsidTr="008142F0">
        <w:tc>
          <w:tcPr>
            <w:tcW w:w="5097" w:type="dxa"/>
          </w:tcPr>
          <w:p w:rsidR="008142F0" w:rsidRDefault="008142F0">
            <w:pPr>
              <w:rPr>
                <w:b/>
                <w:bCs/>
                <w:sz w:val="20"/>
              </w:rPr>
            </w:pPr>
            <w:r>
              <w:rPr>
                <w:b/>
                <w:bCs/>
                <w:sz w:val="20"/>
              </w:rPr>
              <w:t>Dr C Alexander Consultant Obstetrician</w:t>
            </w:r>
          </w:p>
        </w:tc>
        <w:tc>
          <w:tcPr>
            <w:tcW w:w="5097" w:type="dxa"/>
          </w:tcPr>
          <w:p w:rsidR="008142F0" w:rsidRDefault="008142F0" w:rsidP="008142F0">
            <w:pPr>
              <w:tabs>
                <w:tab w:val="left" w:pos="2127"/>
                <w:tab w:val="left" w:pos="5529"/>
              </w:tabs>
              <w:rPr>
                <w:b/>
                <w:bCs/>
                <w:sz w:val="20"/>
              </w:rPr>
            </w:pPr>
            <w:r>
              <w:rPr>
                <w:b/>
                <w:bCs/>
                <w:sz w:val="20"/>
              </w:rPr>
              <w:t>Prof M Strachan: Consultant Endocrinologist</w:t>
            </w:r>
          </w:p>
        </w:tc>
      </w:tr>
      <w:tr w:rsidR="008142F0" w:rsidTr="008142F0">
        <w:tc>
          <w:tcPr>
            <w:tcW w:w="5097" w:type="dxa"/>
          </w:tcPr>
          <w:p w:rsidR="008142F0" w:rsidRDefault="008142F0">
            <w:pPr>
              <w:rPr>
                <w:b/>
                <w:bCs/>
                <w:sz w:val="20"/>
              </w:rPr>
            </w:pPr>
            <w:r>
              <w:rPr>
                <w:b/>
                <w:bCs/>
                <w:sz w:val="20"/>
              </w:rPr>
              <w:t>*Dr M Crane Consultant Clinical Biochemist</w:t>
            </w:r>
          </w:p>
        </w:tc>
        <w:tc>
          <w:tcPr>
            <w:tcW w:w="5097" w:type="dxa"/>
          </w:tcPr>
          <w:p w:rsidR="008142F0" w:rsidRDefault="008142F0">
            <w:pPr>
              <w:rPr>
                <w:b/>
                <w:bCs/>
                <w:sz w:val="20"/>
              </w:rPr>
            </w:pPr>
            <w:r>
              <w:rPr>
                <w:b/>
                <w:bCs/>
                <w:sz w:val="20"/>
              </w:rPr>
              <w:t>Dr N Zammitt: Consultant Endocrinologist</w:t>
            </w:r>
          </w:p>
        </w:tc>
      </w:tr>
      <w:tr w:rsidR="008142F0" w:rsidTr="008142F0">
        <w:tc>
          <w:tcPr>
            <w:tcW w:w="5097" w:type="dxa"/>
          </w:tcPr>
          <w:p w:rsidR="008142F0" w:rsidRDefault="008142F0">
            <w:pPr>
              <w:rPr>
                <w:b/>
                <w:bCs/>
                <w:sz w:val="20"/>
              </w:rPr>
            </w:pPr>
            <w:r>
              <w:rPr>
                <w:b/>
                <w:bCs/>
                <w:sz w:val="20"/>
              </w:rPr>
              <w:t>*Dr Jonathan Mal</w:t>
            </w:r>
            <w:r w:rsidR="00466CB3">
              <w:rPr>
                <w:b/>
                <w:bCs/>
                <w:sz w:val="20"/>
              </w:rPr>
              <w:t>o</w:t>
            </w:r>
            <w:r>
              <w:rPr>
                <w:b/>
                <w:bCs/>
                <w:sz w:val="20"/>
              </w:rPr>
              <w:t xml:space="preserve"> Consultant Clinical Biochemist</w:t>
            </w:r>
          </w:p>
        </w:tc>
        <w:tc>
          <w:tcPr>
            <w:tcW w:w="5097" w:type="dxa"/>
          </w:tcPr>
          <w:p w:rsidR="008142F0" w:rsidRDefault="008142F0">
            <w:pPr>
              <w:rPr>
                <w:b/>
                <w:bCs/>
                <w:sz w:val="20"/>
              </w:rPr>
            </w:pPr>
            <w:r>
              <w:rPr>
                <w:b/>
                <w:bCs/>
                <w:sz w:val="20"/>
              </w:rPr>
              <w:t>Dr C Morton: GP, Refhelp advisor</w:t>
            </w:r>
          </w:p>
        </w:tc>
      </w:tr>
    </w:tbl>
    <w:p w:rsidR="008142F0" w:rsidRDefault="008142F0">
      <w:pPr>
        <w:rPr>
          <w:b/>
          <w:bCs/>
          <w:sz w:val="20"/>
        </w:rPr>
      </w:pPr>
    </w:p>
    <w:p w:rsidR="008142F0" w:rsidRDefault="008142F0">
      <w:pPr>
        <w:rPr>
          <w:b/>
          <w:bCs/>
          <w:sz w:val="20"/>
        </w:rPr>
      </w:pPr>
    </w:p>
    <w:p w:rsidR="00A56CDD" w:rsidRDefault="00A56CDD" w:rsidP="008B0BC0">
      <w:pPr>
        <w:rPr>
          <w:b/>
          <w:bCs/>
          <w:sz w:val="28"/>
        </w:rPr>
      </w:pPr>
      <w:r>
        <w:rPr>
          <w:b/>
          <w:bCs/>
          <w:sz w:val="28"/>
        </w:rPr>
        <w:br w:type="page"/>
      </w:r>
      <w:r>
        <w:rPr>
          <w:b/>
          <w:bCs/>
          <w:sz w:val="28"/>
        </w:rPr>
        <w:lastRenderedPageBreak/>
        <w:t xml:space="preserve">Action Points </w:t>
      </w:r>
    </w:p>
    <w:p w:rsidR="00A56CDD" w:rsidRDefault="00646776">
      <w:pPr>
        <w:rPr>
          <w:b/>
          <w:bCs/>
          <w:sz w:val="28"/>
        </w:rPr>
      </w:pPr>
      <w:r w:rsidRPr="00646776">
        <w:rPr>
          <w:b/>
          <w:bCs/>
          <w:noProof/>
          <w:sz w:val="20"/>
          <w:lang w:val="en-US"/>
        </w:rPr>
        <w:pict>
          <v:shapetype id="_x0000_t202" coordsize="21600,21600" o:spt="202" path="m,l,21600r21600,l21600,xe">
            <v:stroke joinstyle="miter"/>
            <v:path gradientshapeok="t" o:connecttype="rect"/>
          </v:shapetype>
          <v:shape id="Text Box 40" o:spid="_x0000_s1026" type="#_x0000_t202" style="position:absolute;margin-left:0;margin-top:12.8pt;width:486pt;height:27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" filled="f" fillcolor="yellow">
            <v:textbox>
              <w:txbxContent>
                <w:p w:rsidR="007D1F3B" w:rsidRDefault="007D1F3B">
                  <w:pPr>
                    <w:pStyle w:val="Heading2"/>
                    <w:rPr>
                      <w:color w:val="FF0000"/>
                      <w:sz w:val="28"/>
                    </w:rPr>
                  </w:pPr>
                  <w:r>
                    <w:rPr>
                      <w:color w:val="FF0000"/>
                      <w:sz w:val="28"/>
                    </w:rPr>
                    <w:t>Hypothyroidism</w:t>
                  </w:r>
                </w:p>
                <w:p w:rsidR="007D1F3B" w:rsidRDefault="007D1F3B">
                  <w:pPr>
                    <w:pStyle w:val="Heading2"/>
                    <w:rPr>
                      <w:b w:val="0"/>
                      <w:bCs w:val="0"/>
                      <w:sz w:val="22"/>
                    </w:rPr>
                  </w:pPr>
                  <w:r>
                    <w:rPr>
                      <w:sz w:val="22"/>
                    </w:rPr>
                    <w:t>Assess thyroid status: Preferably prior to conception or at booking in the following situations</w:t>
                  </w:r>
                </w:p>
                <w:p w:rsidR="007D1F3B" w:rsidRDefault="007D1F3B">
                  <w:pPr>
                    <w:pStyle w:val="Heading1"/>
                    <w:rPr>
                      <w:b w:val="0"/>
                      <w:bCs w:val="0"/>
                      <w:color w:val="000000"/>
                      <w:sz w:val="22"/>
                    </w:rPr>
                  </w:pPr>
                  <w:r>
                    <w:rPr>
                      <w:b w:val="0"/>
                      <w:bCs w:val="0"/>
                      <w:color w:val="000000"/>
                      <w:sz w:val="22"/>
                    </w:rPr>
                    <w:t xml:space="preserve">Known hypothyroidism </w:t>
                  </w:r>
                  <w:r>
                    <w:rPr>
                      <w:b w:val="0"/>
                      <w:bCs w:val="0"/>
                      <w:color w:val="000000"/>
                      <w:sz w:val="22"/>
                    </w:rPr>
                    <w:tab/>
                  </w:r>
                  <w:r>
                    <w:rPr>
                      <w:b w:val="0"/>
                      <w:bCs w:val="0"/>
                      <w:color w:val="000000"/>
                      <w:sz w:val="22"/>
                    </w:rPr>
                    <w:tab/>
                  </w:r>
                  <w:r>
                    <w:rPr>
                      <w:b w:val="0"/>
                      <w:bCs w:val="0"/>
                      <w:color w:val="000000"/>
                      <w:sz w:val="22"/>
                    </w:rPr>
                    <w:tab/>
                  </w:r>
                  <w:r>
                    <w:rPr>
                      <w:b w:val="0"/>
                      <w:bCs w:val="0"/>
                      <w:color w:val="000000"/>
                      <w:sz w:val="22"/>
                    </w:rPr>
                    <w:tab/>
                  </w:r>
                  <w:r>
                    <w:rPr>
                      <w:b w:val="0"/>
                      <w:bCs w:val="0"/>
                      <w:color w:val="000000"/>
                      <w:sz w:val="22"/>
                    </w:rPr>
                    <w:tab/>
                  </w:r>
                  <w:r>
                    <w:rPr>
                      <w:b w:val="0"/>
                      <w:bCs w:val="0"/>
                      <w:color w:val="auto"/>
                      <w:sz w:val="22"/>
                    </w:rPr>
                    <w:t>Type 1, Type 2 diabetes</w:t>
                  </w:r>
                  <w:r>
                    <w:rPr>
                      <w:b w:val="0"/>
                      <w:bCs w:val="0"/>
                      <w:color w:val="000000"/>
                      <w:sz w:val="22"/>
                    </w:rPr>
                    <w:tab/>
                  </w:r>
                </w:p>
                <w:p w:rsidR="007D1F3B" w:rsidRDefault="007D1F3B">
                  <w:pPr>
                    <w:pStyle w:val="Heading1"/>
                    <w:rPr>
                      <w:b w:val="0"/>
                      <w:bCs w:val="0"/>
                      <w:color w:val="000000"/>
                      <w:sz w:val="22"/>
                    </w:rPr>
                  </w:pPr>
                  <w:r>
                    <w:rPr>
                      <w:b w:val="0"/>
                      <w:bCs w:val="0"/>
                      <w:color w:val="000000"/>
                      <w:sz w:val="22"/>
                    </w:rPr>
                    <w:t xml:space="preserve">Previous history of thyroid disorder </w:t>
                  </w:r>
                  <w:r>
                    <w:rPr>
                      <w:b w:val="0"/>
                      <w:bCs w:val="0"/>
                      <w:color w:val="000000"/>
                      <w:sz w:val="22"/>
                    </w:rPr>
                    <w:tab/>
                  </w:r>
                  <w:r>
                    <w:rPr>
                      <w:b w:val="0"/>
                      <w:bCs w:val="0"/>
                      <w:color w:val="000000"/>
                      <w:sz w:val="22"/>
                    </w:rPr>
                    <w:tab/>
                  </w:r>
                  <w:r>
                    <w:rPr>
                      <w:b w:val="0"/>
                      <w:bCs w:val="0"/>
                      <w:color w:val="000000"/>
                      <w:sz w:val="22"/>
                    </w:rPr>
                    <w:tab/>
                    <w:t>Family history of thyroid disease</w:t>
                  </w:r>
                </w:p>
                <w:p w:rsidR="007D1F3B" w:rsidRDefault="007D1F3B">
                  <w:pPr>
                    <w:pStyle w:val="Heading2"/>
                    <w:rPr>
                      <w:color w:val="FF0000"/>
                      <w:sz w:val="22"/>
                      <w:szCs w:val="24"/>
                    </w:rPr>
                  </w:pPr>
                  <w:r>
                    <w:rPr>
                      <w:b w:val="0"/>
                      <w:bCs w:val="0"/>
                      <w:sz w:val="22"/>
                      <w:szCs w:val="24"/>
                    </w:rPr>
                    <w:t>Features of thyroid disease</w:t>
                  </w:r>
                  <w:r>
                    <w:rPr>
                      <w:b w:val="0"/>
                      <w:bCs w:val="0"/>
                      <w:sz w:val="22"/>
                      <w:szCs w:val="24"/>
                    </w:rPr>
                    <w:tab/>
                  </w:r>
                  <w:r>
                    <w:rPr>
                      <w:b w:val="0"/>
                      <w:bCs w:val="0"/>
                      <w:sz w:val="22"/>
                      <w:szCs w:val="24"/>
                    </w:rPr>
                    <w:tab/>
                  </w:r>
                  <w:r>
                    <w:rPr>
                      <w:b w:val="0"/>
                      <w:bCs w:val="0"/>
                      <w:sz w:val="22"/>
                      <w:szCs w:val="24"/>
                    </w:rPr>
                    <w:tab/>
                  </w:r>
                  <w:r>
                    <w:rPr>
                      <w:b w:val="0"/>
                      <w:bCs w:val="0"/>
                      <w:sz w:val="22"/>
                      <w:szCs w:val="24"/>
                    </w:rPr>
                    <w:tab/>
                  </w:r>
                  <w:r>
                    <w:rPr>
                      <w:b w:val="0"/>
                      <w:bCs w:val="0"/>
                      <w:color w:val="auto"/>
                      <w:sz w:val="22"/>
                      <w:szCs w:val="24"/>
                    </w:rPr>
                    <w:t>Other autoimmune thyroid disorder</w:t>
                  </w:r>
                </w:p>
                <w:p w:rsidR="007D1F3B" w:rsidRDefault="007D1F3B">
                  <w:pPr>
                    <w:rPr>
                      <w:b/>
                      <w:bCs/>
                      <w:color w:val="FF0000"/>
                      <w:sz w:val="22"/>
                    </w:rPr>
                  </w:pPr>
                </w:p>
                <w:p w:rsidR="007D1F3B" w:rsidRDefault="007D1F3B">
                  <w:pPr>
                    <w:rPr>
                      <w:sz w:val="22"/>
                    </w:rPr>
                  </w:pPr>
                  <w:r>
                    <w:rPr>
                      <w:b/>
                      <w:bCs/>
                      <w:sz w:val="22"/>
                    </w:rPr>
                    <w:t>Hypothyroid patients should be offered an appointment with consultant obstetrician</w:t>
                  </w:r>
                </w:p>
                <w:p w:rsidR="007D1F3B" w:rsidRDefault="007D1F3B">
                  <w:pPr>
                    <w:rPr>
                      <w:b/>
                      <w:bCs/>
                      <w:sz w:val="22"/>
                    </w:rPr>
                  </w:pPr>
                </w:p>
                <w:p w:rsidR="007D1F3B" w:rsidRDefault="007D1F3B">
                  <w:pPr>
                    <w:rPr>
                      <w:b/>
                      <w:bCs/>
                      <w:sz w:val="22"/>
                    </w:rPr>
                  </w:pPr>
                  <w:r>
                    <w:rPr>
                      <w:b/>
                      <w:bCs/>
                      <w:sz w:val="22"/>
                    </w:rPr>
                    <w:t xml:space="preserve">Measure TRAbs in </w:t>
                  </w:r>
                  <w:r>
                    <w:rPr>
                      <w:b/>
                      <w:bCs/>
                      <w:sz w:val="22"/>
                      <w:u w:val="single"/>
                    </w:rPr>
                    <w:t>all</w:t>
                  </w:r>
                  <w:r>
                    <w:rPr>
                      <w:b/>
                      <w:bCs/>
                      <w:sz w:val="22"/>
                    </w:rPr>
                    <w:t xml:space="preserve"> patients with history of Graves’ disease (irrespective of thyroid status)</w:t>
                  </w:r>
                </w:p>
                <w:p w:rsidR="007D1F3B" w:rsidRDefault="007D1F3B">
                  <w:pPr>
                    <w:pStyle w:val="Footer"/>
                    <w:tabs>
                      <w:tab w:val="clear" w:pos="4153"/>
                      <w:tab w:val="clear" w:pos="8306"/>
                    </w:tabs>
                    <w:rPr>
                      <w:sz w:val="22"/>
                    </w:rPr>
                  </w:pPr>
                  <w:r>
                    <w:rPr>
                      <w:sz w:val="22"/>
                    </w:rPr>
                    <w:t>Patients with detectable TRAbs require special management. Inform Endocrinologist/Obstetrician as soon as possible.</w:t>
                  </w:r>
                </w:p>
                <w:p w:rsidR="007D1F3B" w:rsidRDefault="007D1F3B">
                  <w:pPr>
                    <w:rPr>
                      <w:sz w:val="22"/>
                    </w:rPr>
                  </w:pPr>
                </w:p>
                <w:p w:rsidR="007D1F3B" w:rsidRDefault="007D1F3B">
                  <w:pPr>
                    <w:rPr>
                      <w:sz w:val="22"/>
                    </w:rPr>
                  </w:pPr>
                  <w:r>
                    <w:rPr>
                      <w:b/>
                      <w:bCs/>
                      <w:sz w:val="22"/>
                    </w:rPr>
                    <w:t xml:space="preserve">Patients with established hypothyroidism should have T4 dose increased by 25 micrograms as soon as a positive pregnancy test is found. </w:t>
                  </w:r>
                  <w:r>
                    <w:rPr>
                      <w:sz w:val="22"/>
                    </w:rPr>
                    <w:t>Further monitoring after 2 weeks and possible further changes in T4 dose may be required to ensure FT4 is 16-21 pmol/L; TSH &lt;2 mU/L as quickly as possible.</w:t>
                  </w:r>
                </w:p>
                <w:p w:rsidR="007D1F3B" w:rsidRDefault="007D1F3B">
                  <w:pPr>
                    <w:rPr>
                      <w:sz w:val="22"/>
                    </w:rPr>
                  </w:pPr>
                </w:p>
                <w:p w:rsidR="007D1F3B" w:rsidRDefault="007D1F3B">
                  <w:pPr>
                    <w:rPr>
                      <w:b/>
                      <w:bCs/>
                      <w:sz w:val="22"/>
                    </w:rPr>
                  </w:pPr>
                  <w:r>
                    <w:rPr>
                      <w:b/>
                      <w:bCs/>
                      <w:sz w:val="22"/>
                    </w:rPr>
                    <w:t xml:space="preserve">Further checks on thyroid function test should be made at least once in each trimester </w:t>
                  </w:r>
                </w:p>
                <w:p w:rsidR="007D1F3B" w:rsidRDefault="007D1F3B">
                  <w:pPr>
                    <w:rPr>
                      <w:sz w:val="22"/>
                    </w:rPr>
                  </w:pPr>
                  <w:r>
                    <w:rPr>
                      <w:b/>
                      <w:bCs/>
                      <w:i/>
                      <w:iCs/>
                      <w:sz w:val="22"/>
                    </w:rPr>
                    <w:t>If TFTs are not stable</w:t>
                  </w:r>
                  <w:r>
                    <w:rPr>
                      <w:sz w:val="22"/>
                    </w:rPr>
                    <w:t xml:space="preserve"> contact consultant obstetrician, as a growth scan may be required.</w:t>
                  </w:r>
                </w:p>
                <w:p w:rsidR="007D1F3B" w:rsidRDefault="007D1F3B">
                  <w:pPr>
                    <w:pStyle w:val="Footer"/>
                    <w:tabs>
                      <w:tab w:val="clear" w:pos="4153"/>
                      <w:tab w:val="clear" w:pos="8306"/>
                    </w:tabs>
                    <w:rPr>
                      <w:sz w:val="22"/>
                    </w:rPr>
                  </w:pPr>
                </w:p>
                <w:p w:rsidR="007D1F3B" w:rsidRDefault="007D1F3B">
                  <w:pPr>
                    <w:pStyle w:val="Heading6"/>
                    <w:rPr>
                      <w:vanish w:val="0"/>
                      <w:sz w:val="22"/>
                    </w:rPr>
                  </w:pPr>
                  <w:r>
                    <w:rPr>
                      <w:vanish w:val="0"/>
                      <w:sz w:val="22"/>
                    </w:rPr>
                    <w:t xml:space="preserve">Cut back T4 dose to pre-pregnancy dose 2-6 weeks post-partum </w:t>
                  </w:r>
                </w:p>
              </w:txbxContent>
            </v:textbox>
          </v:shape>
        </w:pict>
      </w:r>
    </w:p>
    <w:p w:rsidR="00A56CDD" w:rsidRDefault="00A56CDD">
      <w:pPr>
        <w:rPr>
          <w:b/>
          <w:bCs/>
          <w:sz w:val="28"/>
        </w:rPr>
      </w:pPr>
    </w:p>
    <w:p w:rsidR="00A56CDD" w:rsidRDefault="00A56CDD">
      <w:pPr>
        <w:rPr>
          <w:b/>
          <w:bCs/>
          <w:sz w:val="28"/>
        </w:rPr>
      </w:pPr>
    </w:p>
    <w:p w:rsidR="00A56CDD" w:rsidRDefault="00A56CDD">
      <w:pPr>
        <w:rPr>
          <w:b/>
          <w:bCs/>
          <w:sz w:val="28"/>
        </w:rPr>
      </w:pPr>
    </w:p>
    <w:p w:rsidR="00A56CDD" w:rsidRDefault="00A56CDD">
      <w:pPr>
        <w:rPr>
          <w:b/>
          <w:bCs/>
          <w:sz w:val="28"/>
        </w:rPr>
      </w:pPr>
    </w:p>
    <w:p w:rsidR="00A56CDD" w:rsidRDefault="00A56CDD">
      <w:pPr>
        <w:rPr>
          <w:b/>
          <w:bCs/>
          <w:sz w:val="28"/>
        </w:rPr>
      </w:pPr>
    </w:p>
    <w:p w:rsidR="00A56CDD" w:rsidRDefault="00A56CDD">
      <w:pPr>
        <w:rPr>
          <w:b/>
          <w:bCs/>
          <w:sz w:val="28"/>
        </w:rPr>
      </w:pPr>
    </w:p>
    <w:p w:rsidR="00A56CDD" w:rsidRDefault="00A56CDD">
      <w:pPr>
        <w:rPr>
          <w:b/>
          <w:bCs/>
          <w:sz w:val="28"/>
        </w:rPr>
      </w:pPr>
    </w:p>
    <w:p w:rsidR="00A56CDD" w:rsidRDefault="00A56CDD">
      <w:pPr>
        <w:rPr>
          <w:b/>
          <w:bCs/>
          <w:sz w:val="28"/>
        </w:rPr>
      </w:pPr>
    </w:p>
    <w:p w:rsidR="00A56CDD" w:rsidRDefault="00A56CDD">
      <w:pPr>
        <w:rPr>
          <w:b/>
          <w:bCs/>
          <w:sz w:val="28"/>
        </w:rPr>
      </w:pPr>
    </w:p>
    <w:p w:rsidR="00F32052" w:rsidRPr="005D0960" w:rsidRDefault="00646776" w:rsidP="005D0960">
      <w:pPr>
        <w:jc w:val="center"/>
        <w:rPr>
          <w:b/>
          <w:bCs/>
          <w:sz w:val="32"/>
        </w:rPr>
      </w:pPr>
      <w:r w:rsidRPr="00646776">
        <w:rPr>
          <w:b/>
          <w:bCs/>
          <w:noProof/>
          <w:sz w:val="22"/>
          <w:lang w:val="en-US"/>
        </w:rPr>
        <w:pict>
          <v:shape id="Text Box 42" o:spid="_x0000_s1027" type="#_x0000_t202" style="position:absolute;left:0;text-align:left;margin-left:0;margin-top:348.15pt;width:486pt;height:17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" filled="f" fillcolor="yellow">
            <v:textbox>
              <w:txbxContent>
                <w:p w:rsidR="007D1F3B" w:rsidRPr="0028710F" w:rsidRDefault="007D1F3B">
                  <w:pPr>
                    <w:rPr>
                      <w:b/>
                      <w:bCs/>
                      <w:color w:val="FF0000"/>
                      <w:sz w:val="28"/>
                      <w:szCs w:val="28"/>
                    </w:rPr>
                  </w:pPr>
                  <w:r w:rsidRPr="0028710F">
                    <w:rPr>
                      <w:b/>
                      <w:bCs/>
                      <w:color w:val="FF0000"/>
                      <w:sz w:val="28"/>
                      <w:szCs w:val="28"/>
                    </w:rPr>
                    <w:t>Post-partum Thyroiditis</w:t>
                  </w:r>
                </w:p>
                <w:p w:rsidR="007D1F3B" w:rsidRDefault="007D1F3B">
                  <w:pPr>
                    <w:pStyle w:val="BodyText3"/>
                    <w:rPr>
                      <w:b w:val="0"/>
                      <w:bCs w:val="0"/>
                      <w:sz w:val="22"/>
                    </w:rPr>
                  </w:pPr>
                </w:p>
                <w:p w:rsidR="007D1F3B" w:rsidRDefault="007D1F3B">
                  <w:pPr>
                    <w:pStyle w:val="BodyText3"/>
                    <w:rPr>
                      <w:b w:val="0"/>
                      <w:bCs w:val="0"/>
                      <w:sz w:val="22"/>
                    </w:rPr>
                  </w:pPr>
                  <w:r>
                    <w:rPr>
                      <w:b w:val="0"/>
                      <w:bCs w:val="0"/>
                      <w:sz w:val="22"/>
                    </w:rPr>
                    <w:t>Post-partum patients should have thyroid function tests checked at 8 - 12 weeks if they have:-</w:t>
                  </w:r>
                </w:p>
                <w:p w:rsidR="007D1F3B" w:rsidRDefault="007D1F3B">
                  <w:pPr>
                    <w:numPr>
                      <w:ilvl w:val="0"/>
                      <w:numId w:val="17"/>
                    </w:numPr>
                    <w:rPr>
                      <w:color w:val="000000"/>
                      <w:sz w:val="22"/>
                    </w:rPr>
                  </w:pPr>
                  <w:r>
                    <w:rPr>
                      <w:color w:val="000000"/>
                      <w:sz w:val="22"/>
                    </w:rPr>
                    <w:t>Symptoms of hyperthyroidism or hypothyroidism</w:t>
                  </w:r>
                </w:p>
                <w:p w:rsidR="007D1F3B" w:rsidRDefault="007D1F3B">
                  <w:pPr>
                    <w:numPr>
                      <w:ilvl w:val="0"/>
                      <w:numId w:val="17"/>
                    </w:numPr>
                    <w:rPr>
                      <w:color w:val="000000"/>
                      <w:sz w:val="22"/>
                    </w:rPr>
                  </w:pPr>
                  <w:r>
                    <w:rPr>
                      <w:color w:val="000000"/>
                      <w:sz w:val="22"/>
                    </w:rPr>
                    <w:t>Goitre</w:t>
                  </w:r>
                </w:p>
                <w:p w:rsidR="007D1F3B" w:rsidRDefault="007D1F3B">
                  <w:pPr>
                    <w:numPr>
                      <w:ilvl w:val="0"/>
                      <w:numId w:val="17"/>
                    </w:numPr>
                    <w:rPr>
                      <w:color w:val="000000"/>
                      <w:sz w:val="22"/>
                    </w:rPr>
                  </w:pPr>
                  <w:r>
                    <w:rPr>
                      <w:color w:val="000000"/>
                      <w:sz w:val="22"/>
                    </w:rPr>
                    <w:t>History of post-partum thyroiditis or thyroid disease</w:t>
                  </w:r>
                </w:p>
                <w:p w:rsidR="007D1F3B" w:rsidRDefault="007D1F3B">
                  <w:pPr>
                    <w:numPr>
                      <w:ilvl w:val="0"/>
                      <w:numId w:val="17"/>
                    </w:numPr>
                    <w:rPr>
                      <w:color w:val="000000"/>
                      <w:sz w:val="22"/>
                    </w:rPr>
                  </w:pPr>
                  <w:r>
                    <w:rPr>
                      <w:color w:val="000000"/>
                      <w:sz w:val="22"/>
                    </w:rPr>
                    <w:t>Positive TPOAb</w:t>
                  </w:r>
                </w:p>
                <w:p w:rsidR="007D1F3B" w:rsidRDefault="007D1F3B">
                  <w:pPr>
                    <w:rPr>
                      <w:color w:val="000000"/>
                      <w:sz w:val="22"/>
                    </w:rPr>
                  </w:pPr>
                </w:p>
                <w:p w:rsidR="007D1F3B" w:rsidRDefault="007D1F3B">
                  <w:pPr>
                    <w:rPr>
                      <w:b/>
                      <w:bCs/>
                      <w:color w:val="003366"/>
                    </w:rPr>
                  </w:pPr>
                  <w:r>
                    <w:rPr>
                      <w:color w:val="000000"/>
                      <w:sz w:val="22"/>
                    </w:rPr>
                    <w:t>If a hyperthyroid profile is found (TSH &lt;0.01 mU/L; FT4/FT3 raised) an endocrine opinion is warranted to differentiate post-partum thyroiditis from other causes of hyperthyroidism such as Graves’ disease. A TRAbs measurement will be helpful for this.</w:t>
                  </w:r>
                </w:p>
              </w:txbxContent>
            </v:textbox>
          </v:shape>
        </w:pict>
      </w:r>
      <w:r w:rsidRPr="00646776">
        <w:rPr>
          <w:b/>
          <w:bCs/>
          <w:noProof/>
          <w:sz w:val="22"/>
          <w:lang w:val="en-US"/>
        </w:rPr>
        <w:pict>
          <v:shape id="Text Box 41" o:spid="_x0000_s1028" type="#_x0000_t202" style="position:absolute;left:0;text-align:left;margin-left:0;margin-top:142.65pt;width:486pt;height:1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" filled="f" fillcolor="yellow">
            <v:textbox>
              <w:txbxContent>
                <w:p w:rsidR="007D1F3B" w:rsidRDefault="007D1F3B">
                  <w:pPr>
                    <w:rPr>
                      <w:b/>
                      <w:bCs/>
                      <w:color w:val="FF0000"/>
                      <w:sz w:val="28"/>
                    </w:rPr>
                  </w:pPr>
                  <w:r>
                    <w:rPr>
                      <w:b/>
                      <w:bCs/>
                      <w:color w:val="FF0000"/>
                      <w:sz w:val="28"/>
                    </w:rPr>
                    <w:t>Hyperthyroidism</w:t>
                  </w:r>
                </w:p>
                <w:p w:rsidR="007D1F3B" w:rsidRDefault="007D1F3B">
                  <w:pPr>
                    <w:rPr>
                      <w:b/>
                      <w:bCs/>
                    </w:rPr>
                  </w:pPr>
                </w:p>
                <w:p w:rsidR="007D1F3B" w:rsidRDefault="007D1F3B">
                  <w:pPr>
                    <w:rPr>
                      <w:b/>
                      <w:bCs/>
                      <w:sz w:val="22"/>
                    </w:rPr>
                  </w:pPr>
                  <w:r>
                    <w:rPr>
                      <w:b/>
                      <w:bCs/>
                      <w:sz w:val="22"/>
                    </w:rPr>
                    <w:t>All women with hyperthyroidism in pregnancy should be seen by a Consultant Endocrinologist and a Consultant Obstetrician from early in pregnancy</w:t>
                  </w:r>
                </w:p>
                <w:p w:rsidR="007D1F3B" w:rsidRDefault="007D1F3B">
                  <w:pPr>
                    <w:rPr>
                      <w:b/>
                      <w:bCs/>
                      <w:sz w:val="22"/>
                    </w:rPr>
                  </w:pPr>
                </w:p>
                <w:p w:rsidR="007D1F3B" w:rsidRDefault="007D1F3B">
                  <w:pPr>
                    <w:rPr>
                      <w:sz w:val="22"/>
                    </w:rPr>
                  </w:pPr>
                  <w:r>
                    <w:rPr>
                      <w:b/>
                      <w:bCs/>
                      <w:sz w:val="22"/>
                    </w:rPr>
                    <w:t>Home delivery is not appropriate for women with hyperthyroidism</w:t>
                  </w:r>
                </w:p>
                <w:p w:rsidR="007D1F3B" w:rsidRDefault="007D1F3B">
                  <w:pPr>
                    <w:rPr>
                      <w:sz w:val="22"/>
                    </w:rPr>
                  </w:pPr>
                </w:p>
                <w:p w:rsidR="007D1F3B" w:rsidRDefault="007D1F3B">
                  <w:pPr>
                    <w:rPr>
                      <w:sz w:val="22"/>
                    </w:rPr>
                  </w:pPr>
                  <w:r>
                    <w:rPr>
                      <w:b/>
                      <w:bCs/>
                      <w:sz w:val="22"/>
                    </w:rPr>
                    <w:t xml:space="preserve">Measure TRAbs in </w:t>
                  </w:r>
                  <w:r>
                    <w:rPr>
                      <w:b/>
                      <w:bCs/>
                      <w:sz w:val="22"/>
                      <w:u w:val="single"/>
                    </w:rPr>
                    <w:t>all</w:t>
                  </w:r>
                  <w:r>
                    <w:rPr>
                      <w:b/>
                      <w:bCs/>
                      <w:sz w:val="22"/>
                    </w:rPr>
                    <w:t xml:space="preserve"> patients with Graves’’ disease at booking (irrespective of thyroid status). </w:t>
                  </w:r>
                  <w:r>
                    <w:rPr>
                      <w:sz w:val="22"/>
                    </w:rPr>
                    <w:t>Patients with detectable TRAbs require special management, irrespective of their thyroid function test profile. Inform Endocrinologist and Obstetrician as soon as possible. If TRAbs are negative, they do not need to be rechecked.</w:t>
                  </w:r>
                </w:p>
                <w:p w:rsidR="007D1F3B" w:rsidRDefault="007D1F3B">
                  <w:pPr>
                    <w:rPr>
                      <w:sz w:val="22"/>
                    </w:rPr>
                  </w:pPr>
                </w:p>
                <w:p w:rsidR="007D1F3B" w:rsidRDefault="007D1F3B">
                  <w:pPr>
                    <w:rPr>
                      <w:b/>
                      <w:bCs/>
                      <w:sz w:val="22"/>
                    </w:rPr>
                  </w:pPr>
                  <w:r>
                    <w:rPr>
                      <w:b/>
                      <w:bCs/>
                      <w:sz w:val="22"/>
                    </w:rPr>
                    <w:t>The aim is for good control of hyperthyroidism on the minimum dose of carbimazole (CBZ) / propylthiouracil (PTU) possible</w:t>
                  </w:r>
                </w:p>
                <w:p w:rsidR="007D1F3B" w:rsidRDefault="007D1F3B">
                  <w:pPr>
                    <w:rPr>
                      <w:b/>
                      <w:bCs/>
                      <w:sz w:val="22"/>
                    </w:rPr>
                  </w:pPr>
                </w:p>
                <w:p w:rsidR="007D1F3B" w:rsidRDefault="007D1F3B">
                  <w:pPr>
                    <w:rPr>
                      <w:b/>
                      <w:bCs/>
                    </w:rPr>
                  </w:pPr>
                  <w:r>
                    <w:rPr>
                      <w:b/>
                      <w:bCs/>
                      <w:sz w:val="22"/>
                    </w:rPr>
                    <w:t>Paediatricians should be informed on the woman’s admission to labour ward</w:t>
                  </w:r>
                  <w:r>
                    <w:rPr>
                      <w:sz w:val="22"/>
                    </w:rPr>
                    <w:t>.</w:t>
                  </w:r>
                </w:p>
              </w:txbxContent>
            </v:textbox>
          </v:shape>
        </w:pict>
      </w:r>
      <w:r w:rsidR="00E027F5">
        <w:rPr>
          <w:b/>
          <w:bCs/>
          <w:sz w:val="32"/>
        </w:rPr>
        <w:br w:type="page"/>
      </w:r>
      <w:r w:rsidR="00F32052" w:rsidRPr="00F0161B">
        <w:rPr>
          <w:b/>
          <w:sz w:val="28"/>
        </w:rPr>
        <w:lastRenderedPageBreak/>
        <w:t>Hypothyroidism in Pregnancy</w:t>
      </w:r>
    </w:p>
    <w:p w:rsidR="005D0960" w:rsidRDefault="00646776">
      <w:pPr>
        <w:pStyle w:val="Footer"/>
        <w:tabs>
          <w:tab w:val="clear" w:pos="4153"/>
          <w:tab w:val="clear" w:pos="8306"/>
        </w:tabs>
      </w:pPr>
      <w:r>
        <w:rPr>
          <w:noProof/>
        </w:rPr>
        <w:pict>
          <v:rect id="Rectangle 60" o:spid="_x0000_s1117" style="position:absolute;margin-left:0;margin-top:-.05pt;width:225.5pt;height:28.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" stroked="f"/>
        </w:pict>
      </w:r>
    </w:p>
    <w:p w:rsidR="005D0960" w:rsidRDefault="005D0960">
      <w:pPr>
        <w:pStyle w:val="Footer"/>
        <w:tabs>
          <w:tab w:val="clear" w:pos="4153"/>
          <w:tab w:val="clear" w:pos="8306"/>
        </w:tabs>
      </w:pPr>
    </w:p>
    <w:p w:rsidR="00F32052" w:rsidRDefault="005D0960">
      <w:pPr>
        <w:pStyle w:val="Footer"/>
        <w:tabs>
          <w:tab w:val="clear" w:pos="4153"/>
          <w:tab w:val="clear" w:pos="8306"/>
        </w:tabs>
      </w:pPr>
      <w:r w:rsidRPr="005D0960">
        <w:rPr>
          <w:noProof/>
          <w:lang w:eastAsia="en-GB"/>
        </w:rPr>
        <w:drawing>
          <wp:inline distT="0" distB="0" distL="0" distR="0">
            <wp:extent cx="6336030" cy="4074795"/>
            <wp:effectExtent l="0" t="0" r="7620"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336030" cy="4074795"/>
                    </a:xfrm>
                    <a:prstGeom prst="rect">
                      <a:avLst/>
                    </a:prstGeom>
                  </pic:spPr>
                </pic:pic>
              </a:graphicData>
            </a:graphic>
          </wp:inline>
        </w:drawing>
      </w:r>
      <w:r w:rsidR="00646776" w:rsidRPr="00646776">
        <w:rPr>
          <w:noProof/>
          <w:sz w:val="20"/>
          <w:lang w:val="en-US"/>
        </w:rPr>
        <w:pict>
          <v:shape id="Text Box 38" o:spid="_x0000_s1029" type="#_x0000_t202" style="position:absolute;margin-left:-.75pt;margin-top:314.45pt;width:495pt;height:36pt;flip:y;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" filled="f" stroked="f">
            <v:textbox>
              <w:txbxContent>
                <w:p w:rsidR="007D1F3B" w:rsidRDefault="007D1F3B">
                  <w:pPr>
                    <w:rPr>
                      <w:color w:val="FF0000"/>
                      <w:sz w:val="20"/>
                    </w:rPr>
                  </w:pPr>
                  <w:r>
                    <w:rPr>
                      <w:color w:val="FF0000"/>
                      <w:sz w:val="20"/>
                    </w:rPr>
                    <w:t>* It is important to produce this test profile (especially a FT4 of 16-21 pmol/L) as soon as possible in the pregnancy and preferably before conception</w:t>
                  </w:r>
                </w:p>
                <w:p w:rsidR="007D1F3B" w:rsidRDefault="007D1F3B">
                  <w:pPr>
                    <w:rPr>
                      <w:color w:val="FF0000"/>
                      <w:sz w:val="20"/>
                    </w:rPr>
                  </w:pPr>
                </w:p>
                <w:p w:rsidR="007D1F3B" w:rsidRDefault="007D1F3B">
                  <w:pPr>
                    <w:rPr>
                      <w:color w:val="FF0000"/>
                      <w:sz w:val="20"/>
                    </w:rPr>
                  </w:pPr>
                </w:p>
                <w:p w:rsidR="007D1F3B" w:rsidRDefault="007D1F3B">
                  <w:pPr>
                    <w:rPr>
                      <w:color w:val="FF0000"/>
                      <w:sz w:val="20"/>
                    </w:rPr>
                  </w:pPr>
                </w:p>
              </w:txbxContent>
            </v:textbox>
          </v:shape>
        </w:pict>
      </w:r>
      <w:r w:rsidR="00646776" w:rsidRPr="00646776">
        <w:rPr>
          <w:noProof/>
          <w:sz w:val="20"/>
          <w:lang w:val="en-US"/>
        </w:rPr>
        <w:pict>
          <v:rect id="_x0000_s1115" style="position:absolute;margin-left:577.1pt;margin-top:11.8pt;width:225.5pt;height:28.05pt;z-index:251662848;mso-position-horizontal-relative:text;mso-position-vertical-relative:text" stroked="f"/>
        </w:pict>
      </w:r>
    </w:p>
    <w:p w:rsidR="00EC3ACA" w:rsidRDefault="00EC3ACA">
      <w:pPr>
        <w:pStyle w:val="Footer"/>
        <w:tabs>
          <w:tab w:val="clear" w:pos="4153"/>
          <w:tab w:val="clear" w:pos="8306"/>
        </w:tabs>
      </w:pPr>
    </w:p>
    <w:p w:rsidR="00985C70" w:rsidRDefault="00985C70" w:rsidP="00E027F5">
      <w:pPr>
        <w:pStyle w:val="Footer"/>
        <w:tabs>
          <w:tab w:val="clear" w:pos="4153"/>
          <w:tab w:val="clear" w:pos="8306"/>
        </w:tabs>
        <w:jc w:val="center"/>
        <w:rPr>
          <w:b/>
          <w:sz w:val="28"/>
        </w:rPr>
      </w:pPr>
    </w:p>
    <w:p w:rsidR="00E027F5" w:rsidRPr="00EC3ACA" w:rsidRDefault="00E027F5" w:rsidP="00E027F5">
      <w:pPr>
        <w:pStyle w:val="Footer"/>
        <w:tabs>
          <w:tab w:val="clear" w:pos="4153"/>
          <w:tab w:val="clear" w:pos="8306"/>
        </w:tabs>
        <w:jc w:val="center"/>
        <w:rPr>
          <w:b/>
          <w:sz w:val="28"/>
        </w:rPr>
      </w:pPr>
      <w:r w:rsidRPr="00EC3ACA">
        <w:rPr>
          <w:b/>
          <w:sz w:val="28"/>
        </w:rPr>
        <w:t>Hyperthyroidism in Pregnancy</w:t>
      </w:r>
    </w:p>
    <w:p w:rsidR="00E027F5" w:rsidRDefault="00E027F5">
      <w:pPr>
        <w:pStyle w:val="Footer"/>
        <w:tabs>
          <w:tab w:val="clear" w:pos="4153"/>
          <w:tab w:val="clear" w:pos="8306"/>
        </w:tabs>
      </w:pPr>
    </w:p>
    <w:p w:rsidR="005D0960" w:rsidRDefault="00646776">
      <w:pPr>
        <w:pStyle w:val="Footer"/>
        <w:tabs>
          <w:tab w:val="clear" w:pos="4153"/>
          <w:tab w:val="clear" w:pos="8306"/>
        </w:tabs>
      </w:pPr>
      <w:r>
        <w:rPr>
          <w:noProof/>
        </w:rPr>
        <w:pict>
          <v:line id="Straight Connector 73" o:spid="_x0000_s1116" style="position:absolute;z-index:251665920;visibility:visible" from="185.15pt,13.85pt" to="325.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" strokecolor="black [3213]" strokeweight="1pt"/>
        </w:pict>
      </w:r>
    </w:p>
    <w:p w:rsidR="00F32052" w:rsidRDefault="00774F89" w:rsidP="00E027F5">
      <w:pPr>
        <w:pStyle w:val="Footer"/>
        <w:tabs>
          <w:tab w:val="clear" w:pos="4153"/>
          <w:tab w:val="clear" w:pos="8306"/>
        </w:tabs>
        <w:jc w:val="center"/>
      </w:pPr>
      <w:r>
        <w:rPr>
          <w:noProof/>
          <w:lang w:eastAsia="en-GB"/>
        </w:rPr>
        <w:drawing>
          <wp:inline distT="0" distB="0" distL="0" distR="0">
            <wp:extent cx="6524625" cy="3305175"/>
            <wp:effectExtent l="19050" t="0" r="9525"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1" cstate="print"/>
                    <a:srcRect/>
                    <a:stretch>
                      <a:fillRect/>
                    </a:stretch>
                  </pic:blipFill>
                  <pic:spPr bwMode="auto">
                    <a:xfrm>
                      <a:off x="0" y="0"/>
                      <a:ext cx="6524625" cy="3305175"/>
                    </a:xfrm>
                    <a:prstGeom prst="rect">
                      <a:avLst/>
                    </a:prstGeom>
                    <a:noFill/>
                    <a:ln w="9525">
                      <a:noFill/>
                      <a:miter lim="800000"/>
                      <a:headEnd/>
                      <a:tailEnd/>
                    </a:ln>
                  </pic:spPr>
                </pic:pic>
              </a:graphicData>
            </a:graphic>
          </wp:inline>
        </w:drawing>
      </w:r>
    </w:p>
    <w:p w:rsidR="00F32052" w:rsidRDefault="00F32052">
      <w:pPr>
        <w:pStyle w:val="Footer"/>
        <w:tabs>
          <w:tab w:val="clear" w:pos="4153"/>
          <w:tab w:val="clear" w:pos="8306"/>
        </w:tabs>
      </w:pPr>
    </w:p>
    <w:p w:rsidR="00F32052" w:rsidRDefault="00F32052">
      <w:pPr>
        <w:pStyle w:val="Footer"/>
        <w:tabs>
          <w:tab w:val="clear" w:pos="4153"/>
          <w:tab w:val="clear" w:pos="8306"/>
        </w:tabs>
      </w:pPr>
    </w:p>
    <w:p w:rsidR="00F32052" w:rsidRPr="009A5C05" w:rsidRDefault="009A5C05" w:rsidP="009A5C05">
      <w:pPr>
        <w:pStyle w:val="Footer"/>
        <w:tabs>
          <w:tab w:val="clear" w:pos="4153"/>
          <w:tab w:val="clear" w:pos="8306"/>
        </w:tabs>
        <w:jc w:val="center"/>
        <w:rPr>
          <w:b/>
          <w:sz w:val="28"/>
        </w:rPr>
      </w:pPr>
      <w:r w:rsidRPr="009A5C05">
        <w:rPr>
          <w:b/>
          <w:sz w:val="28"/>
        </w:rPr>
        <w:t>Planning pregnancy in hyperthyroidism</w:t>
      </w:r>
    </w:p>
    <w:p w:rsidR="009A5C05" w:rsidRDefault="009A5C05">
      <w:pPr>
        <w:pStyle w:val="Footer"/>
        <w:tabs>
          <w:tab w:val="clear" w:pos="4153"/>
          <w:tab w:val="clear" w:pos="8306"/>
        </w:tabs>
      </w:pPr>
    </w:p>
    <w:p w:rsidR="009A5C05" w:rsidRDefault="00774F89" w:rsidP="009A5C05">
      <w:pPr>
        <w:pStyle w:val="Footer"/>
        <w:tabs>
          <w:tab w:val="clear" w:pos="4153"/>
          <w:tab w:val="clear" w:pos="8306"/>
        </w:tabs>
        <w:jc w:val="center"/>
      </w:pPr>
      <w:r>
        <w:rPr>
          <w:noProof/>
          <w:lang w:eastAsia="en-GB"/>
        </w:rPr>
        <w:drawing>
          <wp:inline distT="0" distB="0" distL="0" distR="0">
            <wp:extent cx="5400675" cy="7096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00675" cy="7096125"/>
                    </a:xfrm>
                    <a:prstGeom prst="rect">
                      <a:avLst/>
                    </a:prstGeom>
                    <a:noFill/>
                    <a:ln w="9525">
                      <a:noFill/>
                      <a:miter lim="800000"/>
                      <a:headEnd/>
                      <a:tailEnd/>
                    </a:ln>
                  </pic:spPr>
                </pic:pic>
              </a:graphicData>
            </a:graphic>
          </wp:inline>
        </w:drawing>
      </w:r>
    </w:p>
    <w:p w:rsidR="007A18DF" w:rsidRDefault="007A18DF" w:rsidP="00EC3ACA">
      <w:pPr>
        <w:pStyle w:val="Footer"/>
        <w:tabs>
          <w:tab w:val="clear" w:pos="4153"/>
          <w:tab w:val="clear" w:pos="8306"/>
        </w:tabs>
      </w:pPr>
    </w:p>
    <w:sectPr w:rsidR="007A18DF" w:rsidSect="00A943AB">
      <w:headerReference w:type="default" r:id="rId13"/>
      <w:footerReference w:type="even" r:id="rId14"/>
      <w:footerReference w:type="default" r:id="rId15"/>
      <w:pgSz w:w="11906" w:h="16838"/>
      <w:pgMar w:top="737" w:right="964" w:bottom="737" w:left="96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06C0F3" w15:done="0"/>
  <w15:commentEx w15:paraId="6A25058A" w15:done="0"/>
  <w15:commentEx w15:paraId="2952621D" w15:done="0"/>
  <w15:commentEx w15:paraId="588ACA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6C0F3" w16cid:durableId="2074A928"/>
  <w16cid:commentId w16cid:paraId="6A25058A" w16cid:durableId="2074A929"/>
  <w16cid:commentId w16cid:paraId="2952621D" w16cid:durableId="2074A92A"/>
  <w16cid:commentId w16cid:paraId="588ACA5A" w16cid:durableId="2074A92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F2" w:rsidRDefault="00841CF2">
      <w:r>
        <w:separator/>
      </w:r>
    </w:p>
  </w:endnote>
  <w:endnote w:type="continuationSeparator" w:id="0">
    <w:p w:rsidR="00841CF2" w:rsidRDefault="00841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imRomLieber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3B" w:rsidRDefault="00646776">
    <w:pPr>
      <w:pStyle w:val="Footer"/>
      <w:framePr w:wrap="around" w:vAnchor="text" w:hAnchor="margin" w:xAlign="right" w:y="1"/>
      <w:rPr>
        <w:rStyle w:val="PageNumber"/>
      </w:rPr>
    </w:pPr>
    <w:r>
      <w:rPr>
        <w:rStyle w:val="PageNumber"/>
      </w:rPr>
      <w:fldChar w:fldCharType="begin"/>
    </w:r>
    <w:r w:rsidR="007D1F3B">
      <w:rPr>
        <w:rStyle w:val="PageNumber"/>
      </w:rPr>
      <w:instrText xml:space="preserve">PAGE  </w:instrText>
    </w:r>
    <w:r>
      <w:rPr>
        <w:rStyle w:val="PageNumber"/>
      </w:rPr>
      <w:fldChar w:fldCharType="end"/>
    </w:r>
  </w:p>
  <w:p w:rsidR="007D1F3B" w:rsidRDefault="007D1F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3B" w:rsidRDefault="00646776">
    <w:pPr>
      <w:pStyle w:val="Footer"/>
      <w:framePr w:wrap="around" w:vAnchor="text" w:hAnchor="margin" w:xAlign="right" w:y="1"/>
      <w:rPr>
        <w:rStyle w:val="PageNumber"/>
      </w:rPr>
    </w:pPr>
    <w:r>
      <w:rPr>
        <w:rStyle w:val="PageNumber"/>
      </w:rPr>
      <w:fldChar w:fldCharType="begin"/>
    </w:r>
    <w:r w:rsidR="007D1F3B">
      <w:rPr>
        <w:rStyle w:val="PageNumber"/>
      </w:rPr>
      <w:instrText xml:space="preserve">PAGE  </w:instrText>
    </w:r>
    <w:r>
      <w:rPr>
        <w:rStyle w:val="PageNumber"/>
      </w:rPr>
      <w:fldChar w:fldCharType="separate"/>
    </w:r>
    <w:r w:rsidR="00D01FD1">
      <w:rPr>
        <w:rStyle w:val="PageNumber"/>
        <w:noProof/>
      </w:rPr>
      <w:t>1</w:t>
    </w:r>
    <w:r>
      <w:rPr>
        <w:rStyle w:val="PageNumber"/>
      </w:rPr>
      <w:fldChar w:fldCharType="end"/>
    </w:r>
  </w:p>
  <w:p w:rsidR="007D1F3B" w:rsidRDefault="007D1F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F2" w:rsidRDefault="00841CF2">
      <w:r>
        <w:separator/>
      </w:r>
    </w:p>
  </w:footnote>
  <w:footnote w:type="continuationSeparator" w:id="0">
    <w:p w:rsidR="00841CF2" w:rsidRDefault="00841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3B" w:rsidRDefault="007D1F3B" w:rsidP="004A5DF1">
    <w:pPr>
      <w:pStyle w:val="Header"/>
      <w:spacing w:after="240"/>
      <w:jc w:val="right"/>
      <w:rPr>
        <w:noProof/>
        <w:lang w:eastAsia="en-GB"/>
      </w:rPr>
    </w:pPr>
    <w:r>
      <w:rPr>
        <w:noProof/>
        <w:lang w:eastAsia="en-GB"/>
      </w:rPr>
      <w:drawing>
        <wp:inline distT="0" distB="0" distL="0" distR="0">
          <wp:extent cx="118110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AF4"/>
    <w:multiLevelType w:val="hybridMultilevel"/>
    <w:tmpl w:val="C68E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10630"/>
    <w:multiLevelType w:val="hybridMultilevel"/>
    <w:tmpl w:val="31282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C1D44"/>
    <w:multiLevelType w:val="hybridMultilevel"/>
    <w:tmpl w:val="047E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2E1BD9"/>
    <w:multiLevelType w:val="hybridMultilevel"/>
    <w:tmpl w:val="BF98B58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E9307B"/>
    <w:multiLevelType w:val="hybridMultilevel"/>
    <w:tmpl w:val="5B203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E3CAA"/>
    <w:multiLevelType w:val="hybridMultilevel"/>
    <w:tmpl w:val="0CBCC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4A3D14"/>
    <w:multiLevelType w:val="hybridMultilevel"/>
    <w:tmpl w:val="BA107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077681"/>
    <w:multiLevelType w:val="hybridMultilevel"/>
    <w:tmpl w:val="042EB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EB5EE4"/>
    <w:multiLevelType w:val="hybridMultilevel"/>
    <w:tmpl w:val="3280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AA5FAB"/>
    <w:multiLevelType w:val="hybridMultilevel"/>
    <w:tmpl w:val="BD88A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B968A3"/>
    <w:multiLevelType w:val="hybridMultilevel"/>
    <w:tmpl w:val="1DEE8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FD0219"/>
    <w:multiLevelType w:val="hybridMultilevel"/>
    <w:tmpl w:val="379A9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094882"/>
    <w:multiLevelType w:val="hybridMultilevel"/>
    <w:tmpl w:val="B91CD99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nsid w:val="368544A6"/>
    <w:multiLevelType w:val="hybridMultilevel"/>
    <w:tmpl w:val="0278EEE0"/>
    <w:lvl w:ilvl="0" w:tplc="BA1C5E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E33DA3"/>
    <w:multiLevelType w:val="hybridMultilevel"/>
    <w:tmpl w:val="D0943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E7616A"/>
    <w:multiLevelType w:val="hybridMultilevel"/>
    <w:tmpl w:val="BF98B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405585"/>
    <w:multiLevelType w:val="hybridMultilevel"/>
    <w:tmpl w:val="48B0E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5755C0"/>
    <w:multiLevelType w:val="hybridMultilevel"/>
    <w:tmpl w:val="FA62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180D15"/>
    <w:multiLevelType w:val="hybridMultilevel"/>
    <w:tmpl w:val="26A28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364C5E"/>
    <w:multiLevelType w:val="hybridMultilevel"/>
    <w:tmpl w:val="C9BA6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B37857"/>
    <w:multiLevelType w:val="hybridMultilevel"/>
    <w:tmpl w:val="C85AE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5C7F1B"/>
    <w:multiLevelType w:val="hybridMultilevel"/>
    <w:tmpl w:val="669E4F68"/>
    <w:lvl w:ilvl="0" w:tplc="0409000F">
      <w:start w:val="1"/>
      <w:numFmt w:val="decimal"/>
      <w:lvlText w:val="%1."/>
      <w:lvlJc w:val="left"/>
      <w:pPr>
        <w:tabs>
          <w:tab w:val="num" w:pos="644"/>
        </w:tabs>
        <w:ind w:left="644"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B146BC"/>
    <w:multiLevelType w:val="hybridMultilevel"/>
    <w:tmpl w:val="A5BCA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112469"/>
    <w:multiLevelType w:val="hybridMultilevel"/>
    <w:tmpl w:val="28E67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B158A6"/>
    <w:multiLevelType w:val="hybridMultilevel"/>
    <w:tmpl w:val="5EB6F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D35D15"/>
    <w:multiLevelType w:val="hybridMultilevel"/>
    <w:tmpl w:val="78A27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2E0DB8"/>
    <w:multiLevelType w:val="hybridMultilevel"/>
    <w:tmpl w:val="F5BE2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526B75"/>
    <w:multiLevelType w:val="hybridMultilevel"/>
    <w:tmpl w:val="491C46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78953396"/>
    <w:multiLevelType w:val="hybridMultilevel"/>
    <w:tmpl w:val="669E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20"/>
  </w:num>
  <w:num w:numId="4">
    <w:abstractNumId w:val="0"/>
  </w:num>
  <w:num w:numId="5">
    <w:abstractNumId w:val="1"/>
  </w:num>
  <w:num w:numId="6">
    <w:abstractNumId w:val="26"/>
  </w:num>
  <w:num w:numId="7">
    <w:abstractNumId w:val="2"/>
  </w:num>
  <w:num w:numId="8">
    <w:abstractNumId w:val="23"/>
  </w:num>
  <w:num w:numId="9">
    <w:abstractNumId w:val="4"/>
  </w:num>
  <w:num w:numId="10">
    <w:abstractNumId w:val="15"/>
  </w:num>
  <w:num w:numId="11">
    <w:abstractNumId w:val="14"/>
  </w:num>
  <w:num w:numId="12">
    <w:abstractNumId w:val="25"/>
  </w:num>
  <w:num w:numId="13">
    <w:abstractNumId w:val="16"/>
  </w:num>
  <w:num w:numId="14">
    <w:abstractNumId w:val="17"/>
  </w:num>
  <w:num w:numId="15">
    <w:abstractNumId w:val="5"/>
  </w:num>
  <w:num w:numId="16">
    <w:abstractNumId w:val="9"/>
  </w:num>
  <w:num w:numId="17">
    <w:abstractNumId w:val="18"/>
  </w:num>
  <w:num w:numId="18">
    <w:abstractNumId w:val="7"/>
  </w:num>
  <w:num w:numId="19">
    <w:abstractNumId w:val="24"/>
  </w:num>
  <w:num w:numId="20">
    <w:abstractNumId w:val="6"/>
  </w:num>
  <w:num w:numId="21">
    <w:abstractNumId w:val="10"/>
  </w:num>
  <w:num w:numId="22">
    <w:abstractNumId w:val="3"/>
  </w:num>
  <w:num w:numId="23">
    <w:abstractNumId w:val="28"/>
  </w:num>
  <w:num w:numId="24">
    <w:abstractNumId w:val="21"/>
  </w:num>
  <w:num w:numId="25">
    <w:abstractNumId w:val="12"/>
  </w:num>
  <w:num w:numId="26">
    <w:abstractNumId w:val="11"/>
  </w:num>
  <w:num w:numId="27">
    <w:abstractNumId w:val="13"/>
  </w:num>
  <w:num w:numId="28">
    <w:abstractNumId w:val="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a zammitt">
    <w15:presenceInfo w15:providerId="Windows Live" w15:userId="fb8c6eff5c4450f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56CDD"/>
    <w:rsid w:val="000244DF"/>
    <w:rsid w:val="00025E82"/>
    <w:rsid w:val="000406D0"/>
    <w:rsid w:val="0005374D"/>
    <w:rsid w:val="00061878"/>
    <w:rsid w:val="000663C5"/>
    <w:rsid w:val="0007158F"/>
    <w:rsid w:val="00087546"/>
    <w:rsid w:val="000A4716"/>
    <w:rsid w:val="000C064E"/>
    <w:rsid w:val="000C6923"/>
    <w:rsid w:val="00126DB9"/>
    <w:rsid w:val="00137D3F"/>
    <w:rsid w:val="00150CAE"/>
    <w:rsid w:val="00164890"/>
    <w:rsid w:val="001C2CEC"/>
    <w:rsid w:val="00224B40"/>
    <w:rsid w:val="0024173F"/>
    <w:rsid w:val="00267C70"/>
    <w:rsid w:val="0028710F"/>
    <w:rsid w:val="002877DD"/>
    <w:rsid w:val="002A26D2"/>
    <w:rsid w:val="002E5D89"/>
    <w:rsid w:val="002F3C93"/>
    <w:rsid w:val="00324FAA"/>
    <w:rsid w:val="00334DB2"/>
    <w:rsid w:val="00346B59"/>
    <w:rsid w:val="00386285"/>
    <w:rsid w:val="003B4DA5"/>
    <w:rsid w:val="003B78B9"/>
    <w:rsid w:val="003D05F5"/>
    <w:rsid w:val="00417D28"/>
    <w:rsid w:val="00431DA5"/>
    <w:rsid w:val="004546A4"/>
    <w:rsid w:val="00455D51"/>
    <w:rsid w:val="0046209E"/>
    <w:rsid w:val="00466CB3"/>
    <w:rsid w:val="004A4ED1"/>
    <w:rsid w:val="004A5DF1"/>
    <w:rsid w:val="004B00FD"/>
    <w:rsid w:val="004D6D14"/>
    <w:rsid w:val="004F2F37"/>
    <w:rsid w:val="00514E6B"/>
    <w:rsid w:val="00515B2D"/>
    <w:rsid w:val="00526EB0"/>
    <w:rsid w:val="0053764A"/>
    <w:rsid w:val="00540B75"/>
    <w:rsid w:val="00552B1F"/>
    <w:rsid w:val="005A6071"/>
    <w:rsid w:val="005B0353"/>
    <w:rsid w:val="005C78B3"/>
    <w:rsid w:val="005D0960"/>
    <w:rsid w:val="005E3A3C"/>
    <w:rsid w:val="005F6323"/>
    <w:rsid w:val="006060EF"/>
    <w:rsid w:val="00646776"/>
    <w:rsid w:val="00647188"/>
    <w:rsid w:val="00661693"/>
    <w:rsid w:val="00670270"/>
    <w:rsid w:val="0069125B"/>
    <w:rsid w:val="006E2551"/>
    <w:rsid w:val="00774F89"/>
    <w:rsid w:val="00783BB6"/>
    <w:rsid w:val="007A18DF"/>
    <w:rsid w:val="007C58EE"/>
    <w:rsid w:val="007D1F3B"/>
    <w:rsid w:val="007D6EA1"/>
    <w:rsid w:val="007E0E38"/>
    <w:rsid w:val="007F199E"/>
    <w:rsid w:val="007F65C2"/>
    <w:rsid w:val="008142F0"/>
    <w:rsid w:val="00820EDA"/>
    <w:rsid w:val="00821811"/>
    <w:rsid w:val="00841C28"/>
    <w:rsid w:val="00841CF2"/>
    <w:rsid w:val="0084579C"/>
    <w:rsid w:val="00847340"/>
    <w:rsid w:val="00857C63"/>
    <w:rsid w:val="00862225"/>
    <w:rsid w:val="00863CF5"/>
    <w:rsid w:val="00890B2F"/>
    <w:rsid w:val="008A761C"/>
    <w:rsid w:val="008B0BC0"/>
    <w:rsid w:val="008F1579"/>
    <w:rsid w:val="008F4E44"/>
    <w:rsid w:val="00907455"/>
    <w:rsid w:val="009344D2"/>
    <w:rsid w:val="00937006"/>
    <w:rsid w:val="00980396"/>
    <w:rsid w:val="00985C70"/>
    <w:rsid w:val="00990081"/>
    <w:rsid w:val="009A5C05"/>
    <w:rsid w:val="009B18F3"/>
    <w:rsid w:val="009C51B0"/>
    <w:rsid w:val="009C66D4"/>
    <w:rsid w:val="00A16443"/>
    <w:rsid w:val="00A22535"/>
    <w:rsid w:val="00A40F39"/>
    <w:rsid w:val="00A4117E"/>
    <w:rsid w:val="00A44C6E"/>
    <w:rsid w:val="00A56CDD"/>
    <w:rsid w:val="00A62ABF"/>
    <w:rsid w:val="00A67B3F"/>
    <w:rsid w:val="00A943AB"/>
    <w:rsid w:val="00AA706A"/>
    <w:rsid w:val="00AE7606"/>
    <w:rsid w:val="00AF654E"/>
    <w:rsid w:val="00B32A43"/>
    <w:rsid w:val="00B517DF"/>
    <w:rsid w:val="00B52D1B"/>
    <w:rsid w:val="00BB4DBA"/>
    <w:rsid w:val="00BC4125"/>
    <w:rsid w:val="00BC7645"/>
    <w:rsid w:val="00C02C13"/>
    <w:rsid w:val="00C100B9"/>
    <w:rsid w:val="00C6622C"/>
    <w:rsid w:val="00C97C79"/>
    <w:rsid w:val="00CD3BD7"/>
    <w:rsid w:val="00CF007D"/>
    <w:rsid w:val="00CF46EF"/>
    <w:rsid w:val="00CF7B0E"/>
    <w:rsid w:val="00D01FD1"/>
    <w:rsid w:val="00D25082"/>
    <w:rsid w:val="00D409D8"/>
    <w:rsid w:val="00D9687A"/>
    <w:rsid w:val="00DB620D"/>
    <w:rsid w:val="00DC1288"/>
    <w:rsid w:val="00DF614A"/>
    <w:rsid w:val="00E027F5"/>
    <w:rsid w:val="00E362AB"/>
    <w:rsid w:val="00E410B9"/>
    <w:rsid w:val="00E554DD"/>
    <w:rsid w:val="00E561CE"/>
    <w:rsid w:val="00E56490"/>
    <w:rsid w:val="00E80391"/>
    <w:rsid w:val="00EB1A9D"/>
    <w:rsid w:val="00EB4B88"/>
    <w:rsid w:val="00EB63F5"/>
    <w:rsid w:val="00EC05B1"/>
    <w:rsid w:val="00EC3ACA"/>
    <w:rsid w:val="00EC634B"/>
    <w:rsid w:val="00ED3E95"/>
    <w:rsid w:val="00EF2D10"/>
    <w:rsid w:val="00F0161B"/>
    <w:rsid w:val="00F05746"/>
    <w:rsid w:val="00F31D43"/>
    <w:rsid w:val="00F32052"/>
    <w:rsid w:val="00F362E2"/>
    <w:rsid w:val="00F40379"/>
    <w:rsid w:val="00F54EF7"/>
    <w:rsid w:val="00F81D92"/>
    <w:rsid w:val="00FA59A5"/>
    <w:rsid w:val="00FD02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colormru v:ext="edit" colors="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AB"/>
    <w:rPr>
      <w:sz w:val="24"/>
      <w:szCs w:val="24"/>
      <w:lang w:eastAsia="en-US"/>
    </w:rPr>
  </w:style>
  <w:style w:type="paragraph" w:styleId="Heading1">
    <w:name w:val="heading 1"/>
    <w:basedOn w:val="Normal"/>
    <w:next w:val="Normal"/>
    <w:qFormat/>
    <w:rsid w:val="00A943AB"/>
    <w:pPr>
      <w:keepNext/>
      <w:outlineLvl w:val="0"/>
    </w:pPr>
    <w:rPr>
      <w:b/>
      <w:bCs/>
      <w:color w:val="3333CC"/>
    </w:rPr>
  </w:style>
  <w:style w:type="paragraph" w:styleId="Heading2">
    <w:name w:val="heading 2"/>
    <w:basedOn w:val="Normal"/>
    <w:next w:val="Normal"/>
    <w:qFormat/>
    <w:rsid w:val="00A943AB"/>
    <w:pPr>
      <w:keepNext/>
      <w:outlineLvl w:val="1"/>
    </w:pPr>
    <w:rPr>
      <w:b/>
      <w:bCs/>
      <w:color w:val="000000"/>
      <w:szCs w:val="36"/>
    </w:rPr>
  </w:style>
  <w:style w:type="paragraph" w:styleId="Heading3">
    <w:name w:val="heading 3"/>
    <w:basedOn w:val="Normal"/>
    <w:next w:val="Normal"/>
    <w:qFormat/>
    <w:rsid w:val="00A943AB"/>
    <w:pPr>
      <w:keepNext/>
      <w:outlineLvl w:val="2"/>
    </w:pPr>
    <w:rPr>
      <w:b/>
      <w:bCs/>
      <w:color w:val="000000"/>
      <w:sz w:val="28"/>
      <w:szCs w:val="36"/>
    </w:rPr>
  </w:style>
  <w:style w:type="paragraph" w:styleId="Heading4">
    <w:name w:val="heading 4"/>
    <w:basedOn w:val="Normal"/>
    <w:next w:val="Normal"/>
    <w:qFormat/>
    <w:rsid w:val="00A943AB"/>
    <w:pPr>
      <w:keepNext/>
      <w:outlineLvl w:val="3"/>
    </w:pPr>
    <w:rPr>
      <w:b/>
      <w:bCs/>
      <w:color w:val="660066"/>
      <w:szCs w:val="28"/>
    </w:rPr>
  </w:style>
  <w:style w:type="paragraph" w:styleId="Heading5">
    <w:name w:val="heading 5"/>
    <w:basedOn w:val="Normal"/>
    <w:next w:val="Normal"/>
    <w:qFormat/>
    <w:rsid w:val="00A943AB"/>
    <w:pPr>
      <w:keepNext/>
      <w:outlineLvl w:val="4"/>
    </w:pPr>
    <w:rPr>
      <w:b/>
      <w:bCs/>
      <w:sz w:val="11"/>
      <w:szCs w:val="11"/>
    </w:rPr>
  </w:style>
  <w:style w:type="paragraph" w:styleId="Heading6">
    <w:name w:val="heading 6"/>
    <w:basedOn w:val="Normal"/>
    <w:next w:val="Normal"/>
    <w:qFormat/>
    <w:rsid w:val="00A943AB"/>
    <w:pPr>
      <w:keepNext/>
      <w:outlineLvl w:val="5"/>
    </w:pPr>
    <w:rPr>
      <w:b/>
      <w:bCs/>
      <w:vanish/>
    </w:rPr>
  </w:style>
  <w:style w:type="paragraph" w:styleId="Heading7">
    <w:name w:val="heading 7"/>
    <w:basedOn w:val="Normal"/>
    <w:next w:val="Normal"/>
    <w:qFormat/>
    <w:rsid w:val="00A943AB"/>
    <w:pPr>
      <w:keepNext/>
      <w:outlineLvl w:val="6"/>
    </w:pPr>
    <w:rPr>
      <w:b/>
      <w:bCs/>
      <w:color w:val="000099"/>
      <w:szCs w:val="28"/>
    </w:rPr>
  </w:style>
  <w:style w:type="paragraph" w:styleId="Heading8">
    <w:name w:val="heading 8"/>
    <w:basedOn w:val="Normal"/>
    <w:next w:val="Normal"/>
    <w:qFormat/>
    <w:rsid w:val="00A943AB"/>
    <w:pPr>
      <w:keepNext/>
      <w:outlineLvl w:val="7"/>
    </w:pPr>
    <w:rPr>
      <w:b/>
      <w:bCs/>
      <w:color w:val="CC3300"/>
    </w:rPr>
  </w:style>
  <w:style w:type="paragraph" w:styleId="Heading9">
    <w:name w:val="heading 9"/>
    <w:basedOn w:val="Normal"/>
    <w:next w:val="Normal"/>
    <w:qFormat/>
    <w:rsid w:val="00A943AB"/>
    <w:pPr>
      <w:keepNext/>
      <w:outlineLvl w:val="8"/>
    </w:pPr>
    <w:rPr>
      <w:b/>
      <w:bCs/>
      <w:i/>
      <w:i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43AB"/>
    <w:pPr>
      <w:jc w:val="center"/>
    </w:pPr>
    <w:rPr>
      <w:b/>
      <w:bCs/>
      <w:szCs w:val="16"/>
    </w:rPr>
  </w:style>
  <w:style w:type="paragraph" w:styleId="BodyText">
    <w:name w:val="Body Text"/>
    <w:basedOn w:val="Normal"/>
    <w:rsid w:val="00A943AB"/>
    <w:rPr>
      <w:color w:val="000000"/>
      <w:szCs w:val="36"/>
    </w:rPr>
  </w:style>
  <w:style w:type="paragraph" w:styleId="BodyText2">
    <w:name w:val="Body Text 2"/>
    <w:basedOn w:val="Normal"/>
    <w:rsid w:val="00A943AB"/>
    <w:rPr>
      <w:i/>
      <w:iCs/>
      <w:szCs w:val="11"/>
    </w:rPr>
  </w:style>
  <w:style w:type="paragraph" w:styleId="BodyText3">
    <w:name w:val="Body Text 3"/>
    <w:basedOn w:val="Normal"/>
    <w:rsid w:val="00A943AB"/>
    <w:rPr>
      <w:b/>
      <w:bCs/>
      <w:color w:val="000000"/>
    </w:rPr>
  </w:style>
  <w:style w:type="paragraph" w:styleId="Footer">
    <w:name w:val="footer"/>
    <w:basedOn w:val="Normal"/>
    <w:rsid w:val="00A943AB"/>
    <w:pPr>
      <w:tabs>
        <w:tab w:val="center" w:pos="4153"/>
        <w:tab w:val="right" w:pos="8306"/>
      </w:tabs>
    </w:pPr>
  </w:style>
  <w:style w:type="character" w:styleId="PageNumber">
    <w:name w:val="page number"/>
    <w:basedOn w:val="DefaultParagraphFont"/>
    <w:rsid w:val="00A943AB"/>
  </w:style>
  <w:style w:type="paragraph" w:styleId="BalloonText">
    <w:name w:val="Balloon Text"/>
    <w:basedOn w:val="Normal"/>
    <w:semiHidden/>
    <w:rsid w:val="00857C63"/>
    <w:rPr>
      <w:rFonts w:ascii="Tahoma" w:hAnsi="Tahoma" w:cs="Tahoma"/>
      <w:sz w:val="16"/>
      <w:szCs w:val="16"/>
    </w:rPr>
  </w:style>
  <w:style w:type="paragraph" w:styleId="Header">
    <w:name w:val="header"/>
    <w:basedOn w:val="Normal"/>
    <w:link w:val="HeaderChar"/>
    <w:rsid w:val="004A5DF1"/>
    <w:pPr>
      <w:tabs>
        <w:tab w:val="center" w:pos="4513"/>
        <w:tab w:val="right" w:pos="9026"/>
      </w:tabs>
    </w:pPr>
  </w:style>
  <w:style w:type="character" w:customStyle="1" w:styleId="HeaderChar">
    <w:name w:val="Header Char"/>
    <w:link w:val="Header"/>
    <w:rsid w:val="004A5DF1"/>
    <w:rPr>
      <w:sz w:val="24"/>
      <w:szCs w:val="24"/>
      <w:lang w:eastAsia="en-US"/>
    </w:rPr>
  </w:style>
  <w:style w:type="character" w:styleId="CommentReference">
    <w:name w:val="annotation reference"/>
    <w:uiPriority w:val="99"/>
    <w:rsid w:val="00670270"/>
    <w:rPr>
      <w:sz w:val="16"/>
      <w:szCs w:val="16"/>
    </w:rPr>
  </w:style>
  <w:style w:type="paragraph" w:styleId="CommentText">
    <w:name w:val="annotation text"/>
    <w:basedOn w:val="Normal"/>
    <w:link w:val="CommentTextChar"/>
    <w:uiPriority w:val="99"/>
    <w:rsid w:val="00670270"/>
    <w:rPr>
      <w:sz w:val="20"/>
      <w:szCs w:val="20"/>
    </w:rPr>
  </w:style>
  <w:style w:type="character" w:customStyle="1" w:styleId="CommentTextChar">
    <w:name w:val="Comment Text Char"/>
    <w:link w:val="CommentText"/>
    <w:uiPriority w:val="99"/>
    <w:rsid w:val="00670270"/>
    <w:rPr>
      <w:lang w:eastAsia="en-US"/>
    </w:rPr>
  </w:style>
  <w:style w:type="paragraph" w:styleId="CommentSubject">
    <w:name w:val="annotation subject"/>
    <w:basedOn w:val="CommentText"/>
    <w:next w:val="CommentText"/>
    <w:link w:val="CommentSubjectChar"/>
    <w:rsid w:val="00670270"/>
    <w:rPr>
      <w:b/>
      <w:bCs/>
    </w:rPr>
  </w:style>
  <w:style w:type="character" w:customStyle="1" w:styleId="CommentSubjectChar">
    <w:name w:val="Comment Subject Char"/>
    <w:link w:val="CommentSubject"/>
    <w:rsid w:val="00670270"/>
    <w:rPr>
      <w:b/>
      <w:bCs/>
      <w:lang w:eastAsia="en-US"/>
    </w:rPr>
  </w:style>
  <w:style w:type="paragraph" w:styleId="ListParagraph">
    <w:name w:val="List Paragraph"/>
    <w:basedOn w:val="Normal"/>
    <w:uiPriority w:val="34"/>
    <w:qFormat/>
    <w:rsid w:val="00661693"/>
    <w:pPr>
      <w:ind w:left="720"/>
    </w:pPr>
  </w:style>
  <w:style w:type="table" w:styleId="TableGrid">
    <w:name w:val="Table Grid"/>
    <w:basedOn w:val="TableNormal"/>
    <w:rsid w:val="00814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59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pubmed&amp;cmd=Search&amp;itool=pubmed_Abstract&amp;term=%22Lao+TT%22%5BAuthor%5D"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javascript:AL_get(this,%20'jour',%20'Curr%20Opin%20Obstet%20Gynecol.');" TargetMode="Externa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18213-CC40-40E6-9DBA-BAD08CDD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Guidelines for Thyroid Function Testing in Primary Care</vt:lpstr>
    </vt:vector>
  </TitlesOfParts>
  <Company>UOE</Company>
  <LinksUpToDate>false</LinksUpToDate>
  <CharactersWithSpaces>19241</CharactersWithSpaces>
  <SharedDoc>false</SharedDoc>
  <HLinks>
    <vt:vector size="12" baseType="variant">
      <vt:variant>
        <vt:i4>2883658</vt:i4>
      </vt:variant>
      <vt:variant>
        <vt:i4>3</vt:i4>
      </vt:variant>
      <vt:variant>
        <vt:i4>0</vt:i4>
      </vt:variant>
      <vt:variant>
        <vt:i4>5</vt:i4>
      </vt:variant>
      <vt:variant>
        <vt:lpwstr>javascript:AL_get(this, 'jour', 'Curr Opin Obstet Gynecol.');</vt:lpwstr>
      </vt:variant>
      <vt:variant>
        <vt:lpwstr/>
      </vt:variant>
      <vt:variant>
        <vt:i4>4390962</vt:i4>
      </vt:variant>
      <vt:variant>
        <vt:i4>0</vt:i4>
      </vt:variant>
      <vt:variant>
        <vt:i4>0</vt:i4>
      </vt:variant>
      <vt:variant>
        <vt:i4>5</vt:i4>
      </vt:variant>
      <vt:variant>
        <vt:lpwstr>http://www.ncbi.nlm.nih.gov/entrez/query.fcgi?db=pubmed&amp;cmd=Search&amp;itool=pubmed_Abstract&amp;term=%22Lao+TT%22%5BAuthor%5D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Thyroid Function Testing in Primary Care</dc:title>
  <dc:creator>gjb</dc:creator>
  <cp:lastModifiedBy>Scott MacKenzie</cp:lastModifiedBy>
  <cp:revision>2</cp:revision>
  <cp:lastPrinted>2020-01-23T08:36:00Z</cp:lastPrinted>
  <dcterms:created xsi:type="dcterms:W3CDTF">2020-06-15T15:10:00Z</dcterms:created>
  <dcterms:modified xsi:type="dcterms:W3CDTF">2020-06-15T15:10:00Z</dcterms:modified>
</cp:coreProperties>
</file>